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NICE SUBMISSION DOSSIER</w:t>
      </w:r>
    </w:p>
    <w:p>
      <w:pPr>
        <w:pStyle w:val="Heading1"/>
        <w:jc w:val="center"/>
      </w:pPr>
      <w:r>
        <w:t>Pembrolizumab</w:t>
      </w:r>
    </w:p>
    <w:p>
      <w:pPr>
        <w:jc w:val="center"/>
      </w:pPr>
      <w:r>
        <w:t>for the treatment of</w:t>
      </w:r>
    </w:p>
    <w:p>
      <w:pPr>
        <w:pStyle w:val="Heading2"/>
        <w:jc w:val="center"/>
      </w:pPr>
      <w:r>
        <w:t>Advanced non-small cell lung cancer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Submitted by:</w:t>
            </w:r>
          </w:p>
        </w:tc>
        <w:tc>
          <w:tcPr>
            <w:tcW w:type="dxa" w:w="4320"/>
          </w:tcPr>
          <w:p>
            <w:r>
              <w:t>Merck Sharp &amp; Dohme</w:t>
            </w:r>
          </w:p>
        </w:tc>
      </w:tr>
      <w:tr>
        <w:tc>
          <w:tcPr>
            <w:tcW w:type="dxa" w:w="4320"/>
          </w:tcPr>
          <w:p>
            <w:r>
              <w:t>Submission Date:</w:t>
            </w:r>
          </w:p>
        </w:tc>
        <w:tc>
          <w:tcPr>
            <w:tcW w:type="dxa" w:w="4320"/>
          </w:tcPr>
          <w:p>
            <w:r>
              <w:t>November 05, 2025</w:t>
            </w:r>
          </w:p>
        </w:tc>
      </w:tr>
      <w:tr>
        <w:tc>
          <w:tcPr>
            <w:tcW w:type="dxa" w:w="4320"/>
          </w:tcPr>
          <w:p>
            <w:r>
              <w:t>Submission Type: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Regulatory Agency:</w:t>
            </w:r>
          </w:p>
        </w:tc>
        <w:tc>
          <w:tcPr>
            <w:tcW w:type="dxa" w:w="4320"/>
          </w:tcPr>
          <w:p>
            <w:r>
              <w:t>NICE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The Technology</w:t>
      </w:r>
    </w:p>
    <w:p>
      <w:pPr>
        <w:pStyle w:val="ListBullet2"/>
      </w:pPr>
      <w:r>
        <w:t xml:space="preserve">  2.1. Description of technology</w:t>
      </w:r>
    </w:p>
    <w:p>
      <w:pPr>
        <w:pStyle w:val="ListBullet2"/>
      </w:pPr>
      <w:r>
        <w:t xml:space="preserve">  2.2. Marketing authorisation</w:t>
      </w:r>
    </w:p>
    <w:p>
      <w:pPr>
        <w:pStyle w:val="ListBullet2"/>
      </w:pPr>
      <w:r>
        <w:t xml:space="preserve">  2.3. Administration and dosing</w:t>
      </w:r>
    </w:p>
    <w:p>
      <w:pPr>
        <w:pStyle w:val="ListBullet2"/>
      </w:pPr>
      <w:r>
        <w:t xml:space="preserve">  2.4. Mechanism of action</w:t>
      </w:r>
    </w:p>
    <w:p>
      <w:pPr>
        <w:pStyle w:val="ListBullet"/>
      </w:pPr>
      <w:r>
        <w:t>3. Health Condition and Position of Technology</w:t>
      </w:r>
    </w:p>
    <w:p>
      <w:pPr>
        <w:pStyle w:val="ListBullet2"/>
      </w:pPr>
      <w:r>
        <w:t xml:space="preserve">  3.1. Disease background</w:t>
      </w:r>
    </w:p>
    <w:p>
      <w:pPr>
        <w:pStyle w:val="ListBullet2"/>
      </w:pPr>
      <w:r>
        <w:t xml:space="preserve">  3.2. Epidemiology</w:t>
      </w:r>
    </w:p>
    <w:p>
      <w:pPr>
        <w:pStyle w:val="ListBullet2"/>
      </w:pPr>
      <w:r>
        <w:t xml:space="preserve">  3.3. Current treatment pathway</w:t>
      </w:r>
    </w:p>
    <w:p>
      <w:pPr>
        <w:pStyle w:val="ListBullet2"/>
      </w:pPr>
      <w:r>
        <w:t xml:space="preserve">  3.4. Unmet need</w:t>
      </w:r>
    </w:p>
    <w:p>
      <w:pPr>
        <w:pStyle w:val="ListBullet"/>
      </w:pPr>
      <w:r>
        <w:t>4. Clinical Effectiveness</w:t>
      </w:r>
    </w:p>
    <w:p>
      <w:pPr>
        <w:pStyle w:val="ListBullet2"/>
      </w:pPr>
      <w:r>
        <w:t xml:space="preserve">  4.1. Identification of studies</w:t>
      </w:r>
    </w:p>
    <w:p>
      <w:pPr>
        <w:pStyle w:val="ListBullet2"/>
      </w:pPr>
      <w:r>
        <w:t xml:space="preserve">  4.2. Study selection</w:t>
      </w:r>
    </w:p>
    <w:p>
      <w:pPr>
        <w:pStyle w:val="ListBullet2"/>
      </w:pPr>
      <w:r>
        <w:t xml:space="preserve">  4.3. Quality assessment</w:t>
      </w:r>
    </w:p>
    <w:p>
      <w:pPr>
        <w:pStyle w:val="ListBullet2"/>
      </w:pPr>
      <w:r>
        <w:t xml:space="preserve">  4.4. Clinical efficacy</w:t>
      </w:r>
    </w:p>
    <w:p>
      <w:pPr>
        <w:pStyle w:val="ListBullet2"/>
      </w:pPr>
      <w:r>
        <w:t xml:space="preserve">  4.5. Safety</w:t>
      </w:r>
    </w:p>
    <w:p>
      <w:pPr>
        <w:pStyle w:val="ListBullet2"/>
      </w:pPr>
      <w:r>
        <w:t xml:space="preserve">  4.6. Meta-analysis</w:t>
      </w:r>
    </w:p>
    <w:p>
      <w:pPr>
        <w:pStyle w:val="ListBullet2"/>
      </w:pPr>
      <w:r>
        <w:t xml:space="preserve">  4.7. Network meta-analysis</w:t>
      </w:r>
    </w:p>
    <w:p>
      <w:pPr>
        <w:pStyle w:val="ListBullet2"/>
      </w:pPr>
      <w:r>
        <w:t xml:space="preserve">  4.8. Indirect treatment comparison</w:t>
      </w:r>
    </w:p>
    <w:p>
      <w:pPr>
        <w:pStyle w:val="ListBullet"/>
      </w:pPr>
      <w:r>
        <w:t>5. Cost-Effectiveness</w:t>
      </w:r>
    </w:p>
    <w:p>
      <w:pPr>
        <w:pStyle w:val="ListBullet2"/>
      </w:pPr>
      <w:r>
        <w:t xml:space="preserve">  5.1. Model structure</w:t>
      </w:r>
    </w:p>
    <w:p>
      <w:pPr>
        <w:pStyle w:val="ListBullet2"/>
      </w:pPr>
      <w:r>
        <w:t xml:space="preserve">  5.2. Clinical parameters</w:t>
      </w:r>
    </w:p>
    <w:p>
      <w:pPr>
        <w:pStyle w:val="ListBullet2"/>
      </w:pPr>
      <w:r>
        <w:t xml:space="preserve">  5.3. Health state utilities</w:t>
      </w:r>
    </w:p>
    <w:p>
      <w:pPr>
        <w:pStyle w:val="ListBullet2"/>
      </w:pPr>
      <w:r>
        <w:t xml:space="preserve">  5.4. Resource use and costs</w:t>
      </w:r>
    </w:p>
    <w:p>
      <w:pPr>
        <w:pStyle w:val="ListBullet2"/>
      </w:pPr>
      <w:r>
        <w:t xml:space="preserve">  5.5. Base case results</w:t>
      </w:r>
    </w:p>
    <w:p>
      <w:pPr>
        <w:pStyle w:val="ListBullet2"/>
      </w:pPr>
      <w:r>
        <w:t xml:space="preserve">  5.6. Sensitivity analysis</w:t>
      </w:r>
    </w:p>
    <w:p>
      <w:pPr>
        <w:pStyle w:val="ListBullet2"/>
      </w:pPr>
      <w:r>
        <w:t xml:space="preserve">  5.7. Scenario analysis</w:t>
      </w:r>
    </w:p>
    <w:p>
      <w:pPr>
        <w:pStyle w:val="ListBullet"/>
      </w:pPr>
      <w:r>
        <w:t>6. Budget Impact</w:t>
      </w:r>
    </w:p>
    <w:p>
      <w:pPr>
        <w:pStyle w:val="ListBullet"/>
      </w:pPr>
      <w:r>
        <w:t>7. References</w:t>
      </w:r>
    </w:p>
    <w:p>
      <w:pPr>
        <w:pStyle w:val="ListBullet"/>
      </w:pPr>
      <w:r>
        <w:t>8. Appendices</w:t>
      </w:r>
    </w:p>
    <w:p>
      <w:pPr>
        <w:pStyle w:val="ListBullet2"/>
      </w:pPr>
      <w:r>
        <w:t xml:space="preserve">  8.1. Search strategies</w:t>
      </w:r>
    </w:p>
    <w:p>
      <w:pPr>
        <w:pStyle w:val="ListBullet2"/>
      </w:pPr>
      <w:r>
        <w:t xml:space="preserve">  8.2. PRISMA diagram</w:t>
      </w:r>
    </w:p>
    <w:p>
      <w:pPr>
        <w:pStyle w:val="ListBullet2"/>
      </w:pPr>
      <w:r>
        <w:t xml:space="preserve">  8.3. Excluded studies</w:t>
      </w:r>
    </w:p>
    <w:p>
      <w:pPr>
        <w:pStyle w:val="ListBullet2"/>
      </w:pPr>
      <w:r>
        <w:t xml:space="preserve">  8.4. Quality assessment forms</w:t>
      </w:r>
    </w:p>
    <w:p>
      <w:pPr>
        <w:pStyle w:val="ListBullet2"/>
      </w:pPr>
      <w:r>
        <w:t xml:space="preserve">  8.5. Forest plots</w:t>
      </w:r>
    </w:p>
    <w:p>
      <w:pPr>
        <w:pStyle w:val="ListBullet2"/>
      </w:pPr>
      <w:r>
        <w:t xml:space="preserve">  8.6. Economic model details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1"/>
      </w:pPr>
      <w:r>
        <w:t>2. The Technology</w:t>
      </w:r>
    </w:p>
    <w:p>
      <w:pPr>
        <w:pStyle w:val="Heading2"/>
      </w:pPr>
      <w:r>
        <w:t>2.1. Description of technology</w:t>
      </w:r>
    </w:p>
    <w:p>
      <w:pPr>
        <w:pStyle w:val="Heading2"/>
      </w:pPr>
      <w:r>
        <w:t>2.2. Marketing authorisation</w:t>
      </w:r>
    </w:p>
    <w:p>
      <w:pPr>
        <w:pStyle w:val="Heading2"/>
      </w:pPr>
      <w:r>
        <w:t>2.3. Administration and dosing</w:t>
      </w:r>
    </w:p>
    <w:p>
      <w:pPr>
        <w:pStyle w:val="Heading2"/>
      </w:pPr>
      <w:r>
        <w:t>2.4. Mechanism of action</w:t>
      </w:r>
    </w:p>
    <w:p>
      <w:pPr>
        <w:pStyle w:val="Heading1"/>
      </w:pPr>
      <w:r>
        <w:t>3. Health Condition and Position of Technology</w:t>
      </w:r>
    </w:p>
    <w:p>
      <w:pPr>
        <w:pStyle w:val="Heading2"/>
      </w:pPr>
      <w:r>
        <w:t>3.1. Disease background</w:t>
      </w:r>
    </w:p>
    <w:p>
      <w:pPr>
        <w:pStyle w:val="Heading2"/>
      </w:pPr>
      <w:r>
        <w:t>3.2. Epidemiology</w:t>
      </w:r>
    </w:p>
    <w:p>
      <w:pPr>
        <w:pStyle w:val="Heading2"/>
      </w:pPr>
      <w:r>
        <w:t>3.3. Current treatment pathway</w:t>
      </w:r>
    </w:p>
    <w:p>
      <w:pPr>
        <w:pStyle w:val="Heading2"/>
      </w:pPr>
      <w:r>
        <w:t>3.4. Unmet need</w:t>
      </w:r>
    </w:p>
    <w:p>
      <w:pPr>
        <w:pStyle w:val="Heading1"/>
      </w:pPr>
      <w:r>
        <w:t>4. Clinical Effectiveness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Certainty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Estimate</w:t>
            </w:r>
          </w:p>
        </w:tc>
      </w:tr>
      <w:tr>
        <w:tc>
          <w:tcPr>
            <w:tcW w:type="dxa" w:w="2880"/>
          </w:tcPr>
          <w:p>
            <w:r>
              <w:t>Mortality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RR 0.75</w:t>
            </w:r>
          </w:p>
        </w:tc>
      </w:tr>
      <w:tr>
        <w:tc>
          <w:tcPr>
            <w:tcW w:type="dxa" w:w="2880"/>
          </w:tcPr>
          <w:p>
            <w:r>
              <w:t>Quality of Life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MD 0.15</w:t>
            </w:r>
          </w:p>
        </w:tc>
      </w:tr>
    </w:tbl>
    <w:p/>
    <w:p>
      <w:pPr>
        <w:pStyle w:val="Heading2"/>
      </w:pPr>
      <w:r>
        <w:t>4.1. Identification of studies</w:t>
      </w:r>
    </w:p>
    <w:p>
      <w:pPr>
        <w:pStyle w:val="Heading2"/>
      </w:pPr>
      <w:r>
        <w:t>4.2. Study selection</w:t>
      </w:r>
    </w:p>
    <w:p>
      <w:pPr>
        <w:pStyle w:val="Heading2"/>
      </w:pPr>
      <w:r>
        <w:t>4.3. Quality assessment</w:t>
      </w:r>
    </w:p>
    <w:p>
      <w:pPr>
        <w:pStyle w:val="Heading2"/>
      </w:pPr>
      <w:r>
        <w:t>4.4. Clinical efficacy</w:t>
      </w:r>
    </w:p>
    <w:p>
      <w:pPr>
        <w:pStyle w:val="Heading2"/>
      </w:pPr>
      <w:r>
        <w:t>4.5. Safety</w:t>
      </w:r>
    </w:p>
    <w:p>
      <w:pPr>
        <w:pStyle w:val="Heading2"/>
      </w:pPr>
      <w:r>
        <w:t>4.6. Meta-analysis</w:t>
      </w:r>
    </w:p>
    <w:p>
      <w:pPr>
        <w:pStyle w:val="Heading2"/>
      </w:pPr>
      <w:r>
        <w:t>4.7. Network meta-analysis</w:t>
      </w:r>
    </w:p>
    <w:p>
      <w:r>
        <w:br/>
        <w:t>Network Meta-Analysis Results</w:t>
        <w:br/>
        <w:br/>
        <w:t>A network meta-analysis was conducted including 15 studies.</w:t>
        <w:br/>
        <w:br/>
        <w:t>Treatment Rankings:</w:t>
        <w:br/>
        <w:t>- Pembrolizumab: Rank 1</w:t>
        <w:br/>
        <w:t>- Nivolumab: Rank 2</w:t>
        <w:br/>
        <w:t>- Atezolizumab: Rank 3</w:t>
        <w:br/>
      </w:r>
    </w:p>
    <w:p>
      <w:pPr>
        <w:pStyle w:val="Heading2"/>
      </w:pPr>
      <w:r>
        <w:t>4.8. Indirect treatment comparison</w:t>
      </w:r>
    </w:p>
    <w:p>
      <w:pPr>
        <w:pStyle w:val="Heading1"/>
      </w:pPr>
      <w:r>
        <w:t>5. Cost-Effectiveness</w:t>
      </w:r>
    </w:p>
    <w:p>
      <w:pPr>
        <w:pStyle w:val="Heading2"/>
      </w:pPr>
      <w:r>
        <w:t>5.1. Model structure</w:t>
      </w:r>
    </w:p>
    <w:p>
      <w:pPr>
        <w:pStyle w:val="Heading2"/>
      </w:pPr>
      <w:r>
        <w:t>5.2. Clinical parameters</w:t>
      </w:r>
    </w:p>
    <w:p>
      <w:pPr>
        <w:pStyle w:val="Heading2"/>
      </w:pPr>
      <w:r>
        <w:t>5.3. Health state utilities</w:t>
      </w:r>
    </w:p>
    <w:p>
      <w:pPr>
        <w:pStyle w:val="Heading2"/>
      </w:pPr>
      <w:r>
        <w:t>5.4. Resource use and costs</w:t>
      </w:r>
    </w:p>
    <w:p>
      <w:pPr>
        <w:pStyle w:val="Heading2"/>
      </w:pPr>
      <w:r>
        <w:t>5.5. Base case results</w:t>
      </w:r>
    </w:p>
    <w:p>
      <w:r>
        <w:br/>
        <w:t>Base Case Cost-Effectiveness Results</w:t>
        <w:br/>
        <w:br/>
        <w:t>The base case analysis shows:</w:t>
        <w:br/>
        <w:t>- Incremental Cost: £45,000</w:t>
        <w:br/>
        <w:t>- Incremental QALYs: 1.20</w:t>
        <w:br/>
        <w:t>- ICER: £37,500/QALY</w:t>
        <w:br/>
        <w:br/>
        <w:t>At a willingness-to-pay threshold of £30,000/QALY, the intervention has a</w:t>
        <w:br/>
        <w:t>78% probability of being cost-effective.</w:t>
        <w:br/>
      </w:r>
    </w:p>
    <w:p>
      <w:pPr>
        <w:pStyle w:val="Heading2"/>
      </w:pPr>
      <w:r>
        <w:t>5.6. Sensitivity analysis</w:t>
      </w:r>
    </w:p>
    <w:p>
      <w:pPr>
        <w:pStyle w:val="Heading2"/>
      </w:pPr>
      <w:r>
        <w:t>5.7. Scenario analysis</w:t>
      </w:r>
    </w:p>
    <w:p>
      <w:pPr>
        <w:pStyle w:val="Heading1"/>
      </w:pPr>
      <w:r>
        <w:t>6. Budget Impact</w:t>
      </w:r>
    </w:p>
    <w:p>
      <w:r>
        <w:br/>
        <w:t>Budget Impact Analysis</w:t>
        <w:br/>
        <w:br/>
        <w:t>The estimated budget impact over 5 years is:</w:t>
        <w:br/>
        <w:t>- Year 1: £5,000,000</w:t>
        <w:br/>
        <w:t>- Year 2: £8,000,000</w:t>
        <w:br/>
        <w:t>- Year 3: £12,000,000</w:t>
        <w:br/>
        <w:t>- Year 4: £15,000,000</w:t>
        <w:br/>
        <w:t>- Year 5: £18,000,000</w:t>
        <w:br/>
        <w:br/>
        <w:t>Total 5-year budget impact: £58,000,000</w:t>
        <w:br/>
      </w:r>
    </w:p>
    <w:p>
      <w:pPr>
        <w:pStyle w:val="Heading1"/>
      </w:pPr>
      <w:r>
        <w:t>7. References</w:t>
      </w:r>
    </w:p>
    <w:p>
      <w:pPr>
        <w:pStyle w:val="Heading1"/>
      </w:pPr>
      <w:r>
        <w:t>8. Appendices</w:t>
      </w:r>
    </w:p>
    <w:p>
      <w:pPr>
        <w:pStyle w:val="Heading2"/>
      </w:pPr>
      <w:r>
        <w:t>8.1. Search strategies</w:t>
      </w:r>
    </w:p>
    <w:p>
      <w:pPr>
        <w:pStyle w:val="Heading2"/>
      </w:pPr>
      <w:r>
        <w:t>8.2. PRISMA diagram</w:t>
      </w:r>
    </w:p>
    <w:p>
      <w:pPr>
        <w:pStyle w:val="Heading2"/>
      </w:pPr>
      <w:r>
        <w:t>8.3. Excluded studies</w:t>
      </w:r>
    </w:p>
    <w:p>
      <w:pPr>
        <w:pStyle w:val="Heading2"/>
      </w:pPr>
      <w:r>
        <w:t>8.4. Quality assessment forms</w:t>
      </w:r>
    </w:p>
    <w:p>
      <w:pPr>
        <w:pStyle w:val="Heading2"/>
      </w:pPr>
      <w:r>
        <w:t>8.5. Forest plots</w:t>
      </w:r>
    </w:p>
    <w:p>
      <w:pPr>
        <w:pStyle w:val="Heading2"/>
      </w:pPr>
      <w:r>
        <w:t>8.6. Economic model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