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F4C75"/>
          <w:sz w:val="36"/>
        </w:rPr>
        <w:t>Pairwise70: a software tool for reproducible evidence-synthesis and modeling workflows</w:t>
      </w:r>
    </w:p>
    <w:p>
      <w:pPr>
        <w:pStyle w:val="Heading2"/>
      </w:pPr>
      <w:r>
        <w:t>Authors</w:t>
      </w:r>
    </w:p>
    <w:p>
      <w:pPr>
        <w:pStyle w:val="ListBullet"/>
      </w:pPr>
      <w:r>
        <w:t>Mahmood Ahmad [1,2]</w:t>
      </w:r>
    </w:p>
    <w:p>
      <w:pPr>
        <w:pStyle w:val="ListBullet"/>
      </w:pPr>
      <w:r>
        <w:t>Niraj Kumar [1]</w:t>
      </w:r>
    </w:p>
    <w:p>
      <w:pPr>
        <w:pStyle w:val="ListBullet"/>
      </w:pPr>
      <w:r>
        <w:t>Bilaal Dar [3]</w:t>
      </w:r>
    </w:p>
    <w:p>
      <w:pPr>
        <w:pStyle w:val="ListBullet"/>
      </w:pPr>
      <w:r>
        <w:t>Laiba Khan [1]</w:t>
      </w:r>
    </w:p>
    <w:p>
      <w:pPr>
        <w:pStyle w:val="ListBullet"/>
      </w:pPr>
      <w:r>
        <w:t>Andrew Woo [4]</w:t>
      </w:r>
    </w:p>
    <w:p>
      <w:pPr>
        <w:pStyle w:val="ListBullet"/>
      </w:pPr>
      <w:r>
        <w:t>Corresponding author: Andrew Woo (andy2709w@gmail.com)</w:t>
      </w:r>
    </w:p>
    <w:p>
      <w:pPr>
        <w:pStyle w:val="Heading2"/>
      </w:pPr>
      <w:r>
        <w:t>Affiliations</w:t>
      </w:r>
    </w:p>
    <w:p>
      <w:r>
        <w:t>1. Royal Free Hospital</w:t>
      </w:r>
    </w:p>
    <w:p>
      <w:r>
        <w:t>2. Tahir Heart Institute Rabwah</w:t>
      </w:r>
    </w:p>
    <w:p>
      <w:r>
        <w:t>3. King's College Medical School</w:t>
      </w:r>
    </w:p>
    <w:p>
      <w:r>
        <w:t>4. St George's Medical School</w:t>
      </w:r>
    </w:p>
    <w:p>
      <w:pPr>
        <w:pStyle w:val="Heading2"/>
      </w:pPr>
      <w:r>
        <w:t>Abstract</w:t>
      </w:r>
    </w:p>
    <w:p>
      <w:r>
        <w:rPr>
          <w:b/>
        </w:rPr>
        <w:t>Background:</w:t>
      </w:r>
      <w:r>
        <w:t xml:space="preserve"> Reproducible evidence-synthesis model development often requires repeated fitting, heterogeneity checks, and structured reporting outputs. Pairwise70 was prepared to support these workflows in a traceable software package.</w:t>
      </w:r>
    </w:p>
    <w:p>
      <w:r>
        <w:rPr>
          <w:b/>
        </w:rPr>
        <w:t>Methods:</w:t>
      </w:r>
      <w:r>
        <w:t xml:space="preserve"> The project is implemented using R, Python, HTML. The documented workflow covers data import, parameter selection, model execution, diagnostics, and export. The manuscript presents a reviewer-facing reproducibility path with explicit artifact pointers and bounded claims.</w:t>
      </w:r>
    </w:p>
    <w:p>
      <w:r>
        <w:rPr>
          <w:b/>
        </w:rPr>
        <w:t>Results:</w:t>
      </w:r>
      <w:r>
        <w:t xml:space="preserve"> The package supports end-to-end local workflows from input through model execution and exportable outputs, with validation evidence linked through project artifacts where available.</w:t>
      </w:r>
    </w:p>
    <w:p>
      <w:r>
        <w:rPr>
          <w:b/>
        </w:rPr>
        <w:t>Conclusions:</w:t>
      </w:r>
      <w:r>
        <w:t xml:space="preserve"> Pairwise70 provides a practical workflow for transparent modeling and evidence synthesis; external submission readiness depends on final public repository metadata and DOI-archived release records.</w:t>
      </w:r>
    </w:p>
    <w:p>
      <w:pPr>
        <w:pStyle w:val="Heading2"/>
      </w:pPr>
      <w:r>
        <w:t>Keywords</w:t>
      </w:r>
    </w:p>
    <w:p>
      <w:r>
        <w:t>evidence synthesis; reproducibility; model validation; software tool</w:t>
      </w:r>
    </w:p>
    <w:p>
      <w:pPr>
        <w:pStyle w:val="Heading2"/>
      </w:pPr>
      <w:r>
        <w:t>Visual Abstract</w:t>
      </w:r>
    </w:p>
    <w:p>
      <w:pPr>
        <w:pStyle w:val="Heading3"/>
      </w:pPr>
      <w:r>
        <w:t>Workflow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Panel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Key message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the software does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Reviewer-check evidence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Clinical problem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Evidence-synthesis workflows are often fragmented and hard to audit.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Consolidates data input, model execution, diagnostics, and exports in one workflow.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Manuscript Methods + reproducibility checklist.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Inputs and setup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Reproducibility depends on explicit data/schema and parameter states.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Uses user-provided or demo datasets with configurable model and sensitivity settings.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Use-case walkthrough + saved run configuration.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Analysis core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Credible conclusions require transparent estimation and diagnostics.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Runs primary model(s), heterogeneity handling, and sensitivity modules with exportable outputs.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Results/diagnostic tables + validation artifact paths.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Output and interpretation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Outputs must be interpretable, bounded, and independently checkable.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Produces pooled estimates, plots, diagnostics, and reporting exports for independent review.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Validation evidence table + checklist-linked artifacts.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Claim boundary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Software articles should avoid unsupported superiority claims.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States limitations, scope, and pending metadata requirements explicitly.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Discussion limitations + submission blockers checklist.</w:t>
            </w:r>
          </w:p>
        </w:tc>
      </w:tr>
    </w:tbl>
    <w:p/>
    <w:p>
      <w:pPr>
        <w:pStyle w:val="Heading2"/>
      </w:pPr>
      <w:r>
        <w:t>Introduction</w:t>
      </w:r>
    </w:p>
    <w:p>
      <w:r>
        <w:t>Complex modeling projects can become difficult to audit when data handling, estimation, diagnostics, and reporting are separated across multiple ad hoc steps. This manuscript documents a consolidated workflow with reproducibility-first structure.</w:t>
      </w:r>
    </w:p>
    <w:p>
      <w:pPr>
        <w:pStyle w:val="Heading3"/>
      </w:pPr>
      <w:r>
        <w:t>Positioning against existing tools</w:t>
      </w:r>
    </w:p>
    <w:p>
      <w:r>
        <w:t>This package is positioned relative to established options including CRSU/MetaInsight web tools, Comprehensive Meta-Analysis (CMA), Stata-based workflows, and package-driven R pipelines. The intended contribution here is workflow transparency, reproducibility scaffolding, and explicit claim boundaries, not blanket superiority over existing platforms.</w:t>
      </w:r>
    </w:p>
    <w:p>
      <w:pPr>
        <w:pStyle w:val="Heading3"/>
      </w:pPr>
      <w:r>
        <w:t>Table 1. Positioning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This package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Established alternatives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Claim boundary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Primary goal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Transparent, reproducible end-to-end workflow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Mature GUIs/statistical packages with broad legacy adoption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Scope limited to demonstrated workflows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User profile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Clinicians/researchers needing guided reproducibility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Advanced analysts and mixed-skill teams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Complementary use is recommended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Strength emphasis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Auditability, artifact linkage, structured outputs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Feature breadth and ecosystem maturity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Interpret strengths relative to use case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Reproducibility support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Walkthrough + validation summary + checklist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Varies by tool/package and setup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Claims remain artifact-bounded</w:t>
            </w:r>
          </w:p>
        </w:tc>
      </w:tr>
    </w:tbl>
    <w:p/>
    <w:p>
      <w:pPr>
        <w:pStyle w:val="Heading2"/>
      </w:pPr>
      <w:r>
        <w:t>Methods</w:t>
      </w:r>
    </w:p>
    <w:p>
      <w:pPr>
        <w:pStyle w:val="Heading3"/>
      </w:pPr>
      <w:r>
        <w:t>Implementation</w:t>
      </w:r>
    </w:p>
    <w:p>
      <w:r>
        <w:t>The software package is organized for local execution with explicit analysis states and reproducible outputs. Components cover data handling, model settings, estimation routines, diagnostics, and export.</w:t>
      </w:r>
    </w:p>
    <w:p>
      <w:pPr>
        <w:pStyle w:val="Heading3"/>
      </w:pPr>
      <w:r>
        <w:t>Installation and local execution requirements</w:t>
      </w:r>
    </w:p>
    <w:p>
      <w:pPr>
        <w:pStyle w:val="ListBullet"/>
      </w:pPr>
      <w:r>
        <w:t xml:space="preserve">Confirm required runtime dependencies listed in </w:t>
      </w:r>
      <w:r>
        <w:t>README.md</w:t>
      </w:r>
      <w:r>
        <w:t xml:space="preserve"> and project environment files.</w:t>
      </w:r>
    </w:p>
    <w:p>
      <w:pPr>
        <w:pStyle w:val="ListBullet"/>
      </w:pPr>
      <w:r>
        <w:t>Use a clean environment for first-run verification to avoid hidden local-state effects.</w:t>
      </w:r>
    </w:p>
    <w:p>
      <w:pPr>
        <w:pStyle w:val="ListBullet"/>
      </w:pPr>
      <w:r>
        <w:t>Run the documented primary entry point and capture logs/screenshots for reproducibility notes.</w:t>
      </w:r>
    </w:p>
    <w:p>
      <w:pPr>
        <w:pStyle w:val="ListBullet"/>
      </w:pPr>
      <w:r>
        <w:t>If package-specific dependencies are unavailable, record the exact version mismatch and fallback behavior.</w:t>
      </w:r>
    </w:p>
    <w:p>
      <w:pPr>
        <w:pStyle w:val="Heading3"/>
      </w:pPr>
      <w:r>
        <w:t>Operation</w:t>
      </w:r>
    </w:p>
    <w:p>
      <w:pPr>
        <w:pStyle w:val="ListBullet"/>
      </w:pPr>
      <w:r>
        <w:t xml:space="preserve">Open and run one primary project entry point (e.g., </w:t>
      </w:r>
      <w:r>
        <w:t>README.md</w:t>
      </w:r>
      <w:r>
        <w:t>).</w:t>
      </w:r>
    </w:p>
    <w:p>
      <w:pPr>
        <w:pStyle w:val="ListBullet"/>
      </w:pPr>
      <w:r>
        <w:t xml:space="preserve">Load demonstration or test data (example reference: </w:t>
      </w:r>
      <w:r>
        <w:t>analysis\ma4_metafor_validation.csv</w:t>
      </w:r>
      <w:r>
        <w:t>).</w:t>
      </w:r>
    </w:p>
    <w:p>
      <w:pPr>
        <w:pStyle w:val="ListBullet"/>
      </w:pPr>
      <w:r>
        <w:t>Configure default model and sensitivity settings, then execute analysis.</w:t>
      </w:r>
    </w:p>
    <w:p>
      <w:pPr>
        <w:pStyle w:val="ListBullet"/>
      </w:pPr>
      <w:r>
        <w:t>Review outputs and export artifacts for independent verification.</w:t>
      </w:r>
    </w:p>
    <w:p>
      <w:pPr>
        <w:pStyle w:val="Heading3"/>
      </w:pPr>
      <w:r>
        <w:t>Table 2. Minimum input schema and validation checks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Input field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Validation rule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Failure risk if missing/invalid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Study identifier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Unique per row/group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Mislabelled outputs, merge errors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Effect/endpoint variables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Numeric + interpretable scale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Invalid model estimation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Uncertainty/count fields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Non-negative and non-null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Biased weighting or unstable inference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Model-setting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Explicitly recorded at run time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Non-reproducible reruns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Source file provenance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Recommended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Track input path and version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Ambiguous audit trail</w:t>
            </w:r>
          </w:p>
        </w:tc>
      </w:tr>
    </w:tbl>
    <w:p/>
    <w:p>
      <w:pPr>
        <w:pStyle w:val="Heading3"/>
      </w:pPr>
      <w:r>
        <w:t>Core equations</w:t>
      </w:r>
    </w:p>
    <w:p>
      <w:r>
        <w:t>Key equations used in this manuscript are summarized in Table EQ1.</w:t>
      </w:r>
    </w:p>
    <w:p>
      <w:pPr>
        <w:pStyle w:val="Heading3"/>
      </w:pPr>
      <w:r>
        <w:t>Equation summary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Eq. ID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Model component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Expression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Interpretation role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E1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General model specification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y_i = g(x_i; \theta) + u_i + \varepsilon_i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Defines core model structure with parameterized signal and noise terms.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E2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Random-effects variance structure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u_i \sim \mathcal{N}(0,\tau^2),\; \varepsilon_i \sim \mathcal{N}(0,v_i)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Encodes heterogeneity and sampling variability assumptions.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E3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Precision-weighted estimator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\hat{\theta} = \frac{\sum_i w_i \theta_i}{\sum_i w_i},\; w_i = \frac{1}{v_i + \tau^2}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Summarizes pooled effects under random-effects weighting.</w:t>
            </w:r>
          </w:p>
        </w:tc>
      </w:tr>
    </w:tbl>
    <w:p/>
    <w:p>
      <w:pPr>
        <w:pStyle w:val="Heading3"/>
      </w:pPr>
      <w:r>
        <w:t>Reproducibility and validation</w:t>
      </w:r>
    </w:p>
    <w:p>
      <w:r>
        <w:t>The package is reported with explicit artifact references so claims can be independently checked.</w:t>
      </w:r>
    </w:p>
    <w:p>
      <w:pPr>
        <w:pStyle w:val="Heading4"/>
      </w:pPr>
      <w:r>
        <w:t>Validation evidence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Validation dimension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Evidence summary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Artifact source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Local execution context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Project execution and output generation are documented for local reruns.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README.md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Validation scope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Validation, test, or benchmark artifacts were identified for package-level checking.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analysis\COMPUTATIONAL_BENCHMARKS.md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Evidence policy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Claims are bounded to artifact-supported local outputs; no unsupported superiority claims are made.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F1000_Submission_Checklist_RealReview.md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Release requirements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Public repository URL and DOI archive are required before external submission.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F1000_Submission_Checklist_RealReview.md</w:t>
            </w:r>
          </w:p>
        </w:tc>
      </w:tr>
    </w:tbl>
    <w:p/>
    <w:p>
      <w:pPr>
        <w:pStyle w:val="Heading3"/>
      </w:pPr>
      <w:r>
        <w:t>Core functionality exposed in the package</w:t>
      </w:r>
    </w:p>
    <w:p>
      <w:pPr>
        <w:pStyle w:val="ListBullet"/>
      </w:pPr>
      <w:r>
        <w:t>Data ingestion and preprocessing hooks</w:t>
      </w:r>
    </w:p>
    <w:p>
      <w:pPr>
        <w:pStyle w:val="ListBullet"/>
      </w:pPr>
      <w:r>
        <w:t>Configurable modeling and sensitivity parameters</w:t>
      </w:r>
    </w:p>
    <w:p>
      <w:pPr>
        <w:pStyle w:val="ListBullet"/>
      </w:pPr>
      <w:r>
        <w:t>Diagnostic and interpretive output pathways</w:t>
      </w:r>
    </w:p>
    <w:p>
      <w:pPr>
        <w:pStyle w:val="ListBullet"/>
      </w:pPr>
      <w:r>
        <w:t>Exportable artifacts for reporting and reproducibility</w:t>
      </w:r>
    </w:p>
    <w:p>
      <w:pPr>
        <w:pStyle w:val="Heading3"/>
      </w:pPr>
      <w:r>
        <w:t>Reviewer-informed reproducibility safeguards</w:t>
      </w:r>
    </w:p>
    <w:p>
      <w:pPr>
        <w:pStyle w:val="ListBullet"/>
      </w:pPr>
      <w:r>
        <w:t>End-to-end walkthrough included for independent rerun.</w:t>
      </w:r>
    </w:p>
    <w:p>
      <w:pPr>
        <w:pStyle w:val="ListBullet"/>
      </w:pPr>
      <w:r>
        <w:t>Evidence statements tied to local artifact paths.</w:t>
      </w:r>
    </w:p>
    <w:p>
      <w:pPr>
        <w:pStyle w:val="ListBullet"/>
      </w:pPr>
      <w:r>
        <w:t>Limitations and claim boundaries stated explicitly.</w:t>
      </w:r>
    </w:p>
    <w:p>
      <w:pPr>
        <w:pStyle w:val="ListBullet"/>
      </w:pPr>
      <w:r>
        <w:t>Submission blockers clearly listed in checklist form.</w:t>
      </w:r>
    </w:p>
    <w:p>
      <w:pPr>
        <w:pStyle w:val="Heading3"/>
      </w:pPr>
      <w:r>
        <w:t>Output interpretation guidance</w:t>
      </w:r>
    </w:p>
    <w:p>
      <w:r>
        <w:t>Interpret outputs jointly across effect estimates, uncertainty intervals, heterogeneity diagnostics, and sensitivity results. For small study counts, rare-event settings, or model-mismatch scenarios, treat asymmetry tests and pooled estimates cautiously. When assumptions are only approximately met (e.g., large-sample approximations), results should be reported with explicit caveats.</w:t>
      </w:r>
    </w:p>
    <w:p>
      <w:pPr>
        <w:pStyle w:val="Heading3"/>
      </w:pPr>
      <w:r>
        <w:t>Table 4. Output-to-decision interpretation guide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Output type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it tells you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it does not guarantee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Reporting recommendation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Primary pooled/model estimate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Central tendency under stated assumptions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Universal validity across all settings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Report with assumptions and uncertainty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Heterogeneity metrics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Between-study variability signal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Definitive cause of heterogeneity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Pair with subgroup/sensitivity rationale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Bias/asymmetry checks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Potential small-study/publication-bias signal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Definitive proof of bias mechanism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Report small-k limitations explicitly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Sensitivity analyses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Robustness under alternate assumptions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Immunity to all model misspecification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 scenario-wise evidence table</w:t>
            </w:r>
          </w:p>
        </w:tc>
      </w:tr>
    </w:tbl>
    <w:p/>
    <w:p>
      <w:pPr>
        <w:pStyle w:val="Heading2"/>
      </w:pPr>
      <w:r>
        <w:t>Use cases</w:t>
      </w:r>
    </w:p>
    <w:p>
      <w:pPr>
        <w:pStyle w:val="Heading3"/>
      </w:pPr>
      <w:r>
        <w:t>Demonstration dataset used for manuscript walkthrough</w:t>
      </w:r>
    </w:p>
    <w:p>
      <w:pPr>
        <w:pStyle w:val="ListBullet"/>
      </w:pPr>
      <w:r>
        <w:t xml:space="preserve">Dataset reference: </w:t>
      </w:r>
      <w:r>
        <w:t>analysis\ma4_metafor_validation.csv</w:t>
      </w:r>
    </w:p>
    <w:p>
      <w:pPr>
        <w:pStyle w:val="ListBullet"/>
      </w:pPr>
      <w:r>
        <w:t>Rationale: fixed demonstration artifacts improve reviewer reproducibility.</w:t>
      </w:r>
    </w:p>
    <w:p>
      <w:pPr>
        <w:pStyle w:val="Heading3"/>
      </w:pPr>
      <w:r>
        <w:t>Use case 1: Primary model execution</w:t>
      </w:r>
    </w:p>
    <w:p>
      <w:r>
        <w:t>Workflow:</w:t>
      </w:r>
    </w:p>
    <w:p>
      <w:pPr>
        <w:pStyle w:val="ListBullet"/>
      </w:pPr>
      <w:r>
        <w:t>Load demonstration data and run default model configuration.</w:t>
      </w:r>
    </w:p>
    <w:p>
      <w:pPr>
        <w:pStyle w:val="ListBullet"/>
      </w:pPr>
      <w:r>
        <w:t>Review primary outputs and uncertainty diagnostics.</w:t>
      </w:r>
    </w:p>
    <w:p>
      <w:pPr>
        <w:pStyle w:val="ListBullet"/>
      </w:pPr>
      <w:r>
        <w:t>Export results for reproducibility archive.</w:t>
      </w:r>
    </w:p>
    <w:p>
      <w:r>
        <w:t>Expected outputs for manuscript:</w:t>
      </w:r>
    </w:p>
    <w:p>
      <w:pPr>
        <w:pStyle w:val="ListBullet"/>
      </w:pPr>
      <w:r>
        <w:t>Primary estimate summary</w:t>
      </w:r>
    </w:p>
    <w:p>
      <w:pPr>
        <w:pStyle w:val="ListBullet"/>
      </w:pPr>
      <w:r>
        <w:t>Diagnostics and model-status outputs</w:t>
      </w:r>
    </w:p>
    <w:p>
      <w:pPr>
        <w:pStyle w:val="ListBullet"/>
      </w:pPr>
      <w:r>
        <w:t>Exportable reporting artifacts</w:t>
      </w:r>
    </w:p>
    <w:p>
      <w:pPr>
        <w:pStyle w:val="Heading3"/>
      </w:pPr>
      <w:r>
        <w:t>Use case 2: Sensitivity and robustness check</w:t>
      </w:r>
    </w:p>
    <w:p>
      <w:r>
        <w:t>Workflow:</w:t>
      </w:r>
    </w:p>
    <w:p>
      <w:pPr>
        <w:pStyle w:val="ListBullet"/>
      </w:pPr>
      <w:r>
        <w:t>Re-run with alternative settings (e.g., heterogeneity/sensitivity options).</w:t>
      </w:r>
    </w:p>
    <w:p>
      <w:pPr>
        <w:pStyle w:val="ListBullet"/>
      </w:pPr>
      <w:r>
        <w:t>Compare directional and magnitude stability of key outputs.</w:t>
      </w:r>
    </w:p>
    <w:p>
      <w:pPr>
        <w:pStyle w:val="ListBullet"/>
      </w:pPr>
      <w:r>
        <w:t>Document any materially different conclusions.</w:t>
      </w:r>
    </w:p>
    <w:p>
      <w:r>
        <w:t>Expected outputs for manuscript:</w:t>
      </w:r>
    </w:p>
    <w:p>
      <w:pPr>
        <w:pStyle w:val="ListBullet"/>
      </w:pPr>
      <w:r>
        <w:t>Sensitivity-aware interpretation</w:t>
      </w:r>
    </w:p>
    <w:p>
      <w:pPr>
        <w:pStyle w:val="ListBullet"/>
      </w:pPr>
      <w:r>
        <w:t>Traceable robustness evidence</w:t>
      </w:r>
    </w:p>
    <w:p>
      <w:pPr>
        <w:pStyle w:val="Heading3"/>
      </w:pPr>
      <w:r>
        <w:t>Reviewer-facing walkthrough (replicable package check)</w:t>
      </w:r>
    </w:p>
    <w:p>
      <w:r>
        <w:t xml:space="preserve">1. Run one documented entry point (e.g., </w:t>
      </w:r>
      <w:r>
        <w:t>README.md</w:t>
      </w:r>
      <w:r>
        <w:t>).</w:t>
      </w:r>
    </w:p>
    <w:p>
      <w:r>
        <w:t xml:space="preserve">2. Load a demonstration/test dataset (e.g., </w:t>
      </w:r>
      <w:r>
        <w:t>analysis\ma4_metafor_validation.csv</w:t>
      </w:r>
      <w:r>
        <w:t>).</w:t>
      </w:r>
    </w:p>
    <w:p>
      <w:r>
        <w:t>3. Execute default analysis and record outputs.</w:t>
      </w:r>
    </w:p>
    <w:p>
      <w:r>
        <w:t>4. Execute at least one sensitivity rerun and compare conclusions.</w:t>
      </w:r>
    </w:p>
    <w:p>
      <w:r>
        <w:t>5. Cross-check outputs against listed validation evidence paths.</w:t>
      </w:r>
    </w:p>
    <w:p>
      <w:pPr>
        <w:pStyle w:val="Heading3"/>
      </w:pPr>
      <w:r>
        <w:t>User tutorial and onboarding</w:t>
      </w:r>
    </w:p>
    <w:p>
      <w:pPr>
        <w:pStyle w:val="ListBullet"/>
      </w:pPr>
      <w:r>
        <w:t>Start with packaged demonstration data before using external data.</w:t>
      </w:r>
    </w:p>
    <w:p>
      <w:pPr>
        <w:pStyle w:val="ListBullet"/>
      </w:pPr>
      <w:r>
        <w:t>Verify exported results against on-screen summaries.</w:t>
      </w:r>
    </w:p>
    <w:p>
      <w:pPr>
        <w:pStyle w:val="ListBullet"/>
      </w:pPr>
      <w:r>
        <w:t>Use checklist items before submission or release tagging.</w:t>
      </w:r>
    </w:p>
    <w:p>
      <w:pPr>
        <w:pStyle w:val="ListBullet"/>
      </w:pPr>
      <w:r>
        <w:t>Report warnings and convergence caveats with analysis outputs.</w:t>
      </w:r>
    </w:p>
    <w:p>
      <w:pPr>
        <w:pStyle w:val="Heading3"/>
      </w:pPr>
      <w:r>
        <w:t>Table 5. Assumptions, diagnostics, and caution flags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Recommended diagnostic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Caution flag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Effect model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Chosen form reflects study design and outcome scale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Residual pattern + sensitivity reruns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Large directional shifts across settings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Heterogeneity handling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Random-effects assumptions are plausible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Tau/I2/Q-related diagnostics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Small-k instability or extreme heterogeneity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Approximation regime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Large-sample approximations adequate for data context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Rare-event and small-k checks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Sparse events / unstable variance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Sensitivity module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Alternative settings should not reverse core interpretation without explanation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Structured scenario comparison table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Inference changes without transparent rationale</w:t>
            </w:r>
          </w:p>
        </w:tc>
      </w:tr>
    </w:tbl>
    <w:p/>
    <w:p>
      <w:pPr>
        <w:pStyle w:val="Heading2"/>
      </w:pPr>
      <w:r>
        <w:t>Discussion</w:t>
      </w:r>
    </w:p>
    <w:p>
      <w:r>
        <w:t>The primary strength is operational transparency: workflow steps, outputs, and evidence references are all documented in one package-level path. This improves reviewer auditability and reduces undocumented handoffs.</w:t>
      </w:r>
    </w:p>
    <w:p>
      <w:pPr>
        <w:pStyle w:val="Heading3"/>
      </w:pPr>
      <w:r>
        <w:t>Limitations and claim boundaries (review-informed)</w:t>
      </w:r>
    </w:p>
    <w:p>
      <w:pPr>
        <w:pStyle w:val="ListBullet"/>
      </w:pPr>
      <w:r>
        <w:t>The package is not framed as a universal replacement for all existing methods/tools.</w:t>
      </w:r>
    </w:p>
    <w:p>
      <w:pPr>
        <w:pStyle w:val="ListBullet"/>
      </w:pPr>
      <w:r>
        <w:t>Claims are restricted to artifact-supported local workflows.</w:t>
      </w:r>
    </w:p>
    <w:p>
      <w:pPr>
        <w:pStyle w:val="ListBullet"/>
      </w:pPr>
      <w:r>
        <w:t>Interpretation quality remains dependent on methodological fit and data quality.</w:t>
      </w:r>
    </w:p>
    <w:p>
      <w:pPr>
        <w:pStyle w:val="ListBullet"/>
      </w:pPr>
      <w:r>
        <w:t>Repository URL and DOI metadata are still required before submission.</w:t>
      </w:r>
    </w:p>
    <w:p>
      <w:pPr>
        <w:pStyle w:val="Heading2"/>
      </w:pPr>
      <w:r>
        <w:t>Conclusions</w:t>
      </w:r>
    </w:p>
    <w:p>
      <w:r>
        <w:t>Pairwise70 is structured for reproducible modeling workflows with explicit evidence mapping and bounded claims. With final repository/DOI metadata completed, the package is prepared for software-tool reporting.</w:t>
      </w:r>
    </w:p>
    <w:p>
      <w:pPr>
        <w:pStyle w:val="Heading2"/>
      </w:pPr>
      <w:r>
        <w:t>Workflow Figure Blueprint</w:t>
      </w:r>
    </w:p>
    <w:p>
      <w:pPr>
        <w:pStyle w:val="Heading3"/>
      </w:pPr>
      <w:r>
        <w:t>Figure FA1. End-to-end analytical flowchart</w:t>
      </w:r>
    </w:p>
    <w:p>
      <w:r>
        <w:t>Recommended node sequence:</w:t>
      </w:r>
    </w:p>
    <w:p>
      <w:r>
        <w:t>1. Data input and schema checks</w:t>
      </w:r>
    </w:p>
    <w:p>
      <w:r>
        <w:t>2. Model setup and assumptions</w:t>
      </w:r>
    </w:p>
    <w:p>
      <w:r>
        <w:t>3. Primary estimation</w:t>
      </w:r>
    </w:p>
    <w:p>
      <w:r>
        <w:t>4. Diagnostics and heterogeneity review</w:t>
      </w:r>
    </w:p>
    <w:p>
      <w:r>
        <w:t>5. Sensitivity and robustness analysis</w:t>
      </w:r>
    </w:p>
    <w:p>
      <w:r>
        <w:t>6. Export, reporting, and reproducibility checks</w:t>
      </w:r>
    </w:p>
    <w:p>
      <w:r>
        <w:t>Design specifications:</w:t>
      </w:r>
    </w:p>
    <w:p>
      <w:pPr>
        <w:pStyle w:val="ListBullet"/>
      </w:pPr>
      <w:r>
        <w:t>Use clean vector geometry, no decorative backgrounds.</w:t>
      </w:r>
    </w:p>
    <w:p>
      <w:pPr>
        <w:pStyle w:val="ListBullet"/>
      </w:pPr>
      <w:r>
        <w:t>Keep labels short, method-focused, and assumption-aware.</w:t>
      </w:r>
    </w:p>
    <w:p>
      <w:pPr>
        <w:pStyle w:val="ListBullet"/>
      </w:pPr>
      <w:r>
        <w:t>Ensure grayscale legibility for print workflows.</w:t>
      </w:r>
    </w:p>
    <w:p>
      <w:pPr>
        <w:pStyle w:val="ListBullet"/>
      </w:pPr>
      <w:r>
        <w:t>Keep scientific claims in manuscript text/tables; flowchart is explanatory only.</w:t>
      </w:r>
    </w:p>
    <w:p>
      <w:r>
        <w:t>Proposed figure files:</w:t>
      </w:r>
    </w:p>
    <w:p>
      <w:pPr>
        <w:pStyle w:val="ListBullet"/>
      </w:pPr>
      <w:r>
        <w:t>figures/figure00_workflow_flowchart.png</w:t>
      </w:r>
      <w:r>
        <w:t xml:space="preserve"> (working draft)</w:t>
      </w:r>
    </w:p>
    <w:p>
      <w:pPr>
        <w:pStyle w:val="ListBullet"/>
      </w:pPr>
      <w:r>
        <w:t>figures/figure00_workflow_flowchart.tiff</w:t>
      </w:r>
      <w:r>
        <w:t xml:space="preserve"> (submission-ready raster)</w:t>
      </w:r>
    </w:p>
    <w:p>
      <w:pPr>
        <w:pStyle w:val="ListBullet"/>
      </w:pPr>
      <w:r>
        <w:t>figures/figure00_workflow_flowchart.eps</w:t>
      </w:r>
      <w:r>
        <w:t xml:space="preserve"> (submission-ready vector)</w:t>
      </w:r>
    </w:p>
    <w:p>
      <w:pPr>
        <w:pStyle w:val="Heading3"/>
      </w:pPr>
      <w:r>
        <w:t>Infographic-style quick panel</w:t>
      </w:r>
    </w:p>
    <w:p>
      <w:r>
        <w:t>If needed, add a one-panel “study at a glance” infographic summarizing:</w:t>
      </w:r>
    </w:p>
    <w:p>
      <w:pPr>
        <w:pStyle w:val="ListBullet"/>
      </w:pPr>
      <w:r>
        <w:t>Problem context</w:t>
      </w:r>
    </w:p>
    <w:p>
      <w:pPr>
        <w:pStyle w:val="ListBullet"/>
      </w:pPr>
      <w:r>
        <w:t>Workflow contribution</w:t>
      </w:r>
    </w:p>
    <w:p>
      <w:pPr>
        <w:pStyle w:val="ListBullet"/>
      </w:pPr>
      <w:r>
        <w:t>Validation evidence anchor</w:t>
      </w:r>
    </w:p>
    <w:p>
      <w:pPr>
        <w:pStyle w:val="ListBullet"/>
      </w:pPr>
      <w:r>
        <w:t>Claim boundary statement</w:t>
      </w:r>
    </w:p>
    <w:p>
      <w:pPr>
        <w:pStyle w:val="Heading2"/>
      </w:pPr>
      <w:r>
        <w:t>Figures and visual walkthrough</w:t>
      </w:r>
    </w:p>
    <w:p>
      <w:r>
        <w:t>Figure 1. Full-page interface or primary run overview.</w:t>
      </w:r>
    </w:p>
    <w:p>
      <w:r>
        <w:t>Figure 2. Model configuration and parameter workflow.</w:t>
      </w:r>
    </w:p>
    <w:p>
      <w:r>
        <w:t>Figure 3. Primary results and diagnostics view.</w:t>
      </w:r>
    </w:p>
    <w:p>
      <w:r>
        <w:t>Figure 4. Sensitivity/robustness view.</w:t>
      </w:r>
    </w:p>
    <w:p>
      <w:r>
        <w:t>Figure 5. Export/reporting workflow view.</w:t>
      </w:r>
    </w:p>
    <w:p>
      <w:r>
        <w:t>Figure assets should be generated from representative full-page runs and mapped to Figure 1-5 during final submission.</w:t>
      </w:r>
    </w:p>
    <w:p>
      <w:pPr>
        <w:pStyle w:val="Heading3"/>
      </w:pPr>
      <w:r>
        <w:t>Submission figure files (separate, 300 DPI; screenshots only)</w:t>
      </w:r>
    </w:p>
    <w:p>
      <w:pPr>
        <w:pStyle w:val="ListBullet"/>
      </w:pPr>
      <w:r>
        <w:t>figures/figure01_overview_fullpage.tiff</w:t>
      </w:r>
      <w:r>
        <w:t xml:space="preserve"> and </w:t>
      </w:r>
      <w:r>
        <w:t>figures/figure01_overview_fullpage.eps</w:t>
      </w:r>
    </w:p>
    <w:p>
      <w:pPr>
        <w:pStyle w:val="ListBullet"/>
      </w:pPr>
      <w:r>
        <w:t>figures/figure02_model_fullpage.tiff</w:t>
      </w:r>
      <w:r>
        <w:t xml:space="preserve"> and </w:t>
      </w:r>
      <w:r>
        <w:t>figures/figure02_model_fullpage.eps</w:t>
      </w:r>
    </w:p>
    <w:p>
      <w:pPr>
        <w:pStyle w:val="ListBullet"/>
      </w:pPr>
      <w:r>
        <w:t>figures/figure03_results_fullpage.tiff</w:t>
      </w:r>
      <w:r>
        <w:t xml:space="preserve"> and </w:t>
      </w:r>
      <w:r>
        <w:t>figures/figure03_results_fullpage.eps</w:t>
      </w:r>
    </w:p>
    <w:p>
      <w:pPr>
        <w:pStyle w:val="ListBullet"/>
      </w:pPr>
      <w:r>
        <w:t>figures/figure04_bias_fullpage.tiff</w:t>
      </w:r>
      <w:r>
        <w:t xml:space="preserve"> and </w:t>
      </w:r>
      <w:r>
        <w:t>figures/figure04_bias_fullpage.eps</w:t>
      </w:r>
    </w:p>
    <w:p>
      <w:pPr>
        <w:pStyle w:val="ListBullet"/>
      </w:pPr>
      <w:r>
        <w:t>figures/figure05_report_fullpage.tiff</w:t>
      </w:r>
      <w:r>
        <w:t xml:space="preserve"> and </w:t>
      </w:r>
      <w:r>
        <w:t>figures/figure05_report_fullpage.eps</w:t>
      </w:r>
    </w:p>
    <w:p>
      <w:pPr>
        <w:pStyle w:val="Heading3"/>
      </w:pPr>
      <w:r>
        <w:t>Table 3. Reproducibility and submission readiness 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Local artifact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Current status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Action before external submission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Example walkthrough dataset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analysis\COMPUTATIONAL_BENCHMARKS.md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Verify rerun on clean machine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Validation summary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f1000_artifacts/validation_summary.md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Confirm numbers and paths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User walkthrough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f1000_artifacts/tutorial_walkthrough.md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Align screenshots/captions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Repository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[TO_BE_ADDED_GITHUB_OR_GITLAB_URL]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Placeholder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Replace after final tagging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DOI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[TO_BE_ADDED_ZENODO_DOI]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Placeholder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Replace after Zenodo archive creation</w:t>
            </w:r>
          </w:p>
        </w:tc>
      </w:tr>
    </w:tbl>
    <w:p/>
    <w:p>
      <w:pPr>
        <w:pStyle w:val="Heading2"/>
      </w:pPr>
      <w:r>
        <w:t>Software availability</w:t>
      </w:r>
    </w:p>
    <w:p>
      <w:pPr>
        <w:pStyle w:val="ListBullet"/>
      </w:pPr>
      <w:r>
        <w:t xml:space="preserve">Local source package: </w:t>
      </w:r>
      <w:r>
        <w:t>Pairwise70</w:t>
      </w:r>
      <w:r>
        <w:t xml:space="preserve"> under </w:t>
      </w:r>
      <w:r>
        <w:t>C:\Models</w:t>
      </w:r>
      <w:r>
        <w:t>.</w:t>
      </w:r>
    </w:p>
    <w:p>
      <w:pPr>
        <w:pStyle w:val="ListBullet"/>
      </w:pPr>
      <w:r>
        <w:t xml:space="preserve">Public repository (placeholder): </w:t>
      </w:r>
      <w:r>
        <w:t>[TO_BE_ADDED_GITHUB_OR_GITLAB_URL]</w:t>
      </w:r>
    </w:p>
    <w:p>
      <w:pPr>
        <w:pStyle w:val="ListBullet"/>
      </w:pPr>
      <w:r>
        <w:t xml:space="preserve">Zenodo DOI (placeholder): </w:t>
      </w:r>
      <w:r>
        <w:t>[TO_BE_ADDED_ZENODO_DOI]</w:t>
      </w:r>
    </w:p>
    <w:p>
      <w:pPr>
        <w:pStyle w:val="ListBullet"/>
      </w:pPr>
      <w:r>
        <w:t>Version: development build (version label to be finalized)</w:t>
      </w:r>
    </w:p>
    <w:p>
      <w:pPr>
        <w:pStyle w:val="ListBullet"/>
      </w:pPr>
      <w:r>
        <w:t xml:space="preserve">Reproducibility walkthrough: </w:t>
      </w:r>
      <w:r>
        <w:t>f1000_artifacts/tutorial_walkthrough.md</w:t>
      </w:r>
    </w:p>
    <w:p>
      <w:pPr>
        <w:pStyle w:val="ListBullet"/>
      </w:pPr>
      <w:r>
        <w:t xml:space="preserve">Validation summary: </w:t>
      </w:r>
      <w:r>
        <w:t>f1000_artifacts/validation_summary.md</w:t>
      </w:r>
    </w:p>
    <w:p>
      <w:pPr>
        <w:pStyle w:val="ListBullet"/>
      </w:pPr>
      <w:r>
        <w:t xml:space="preserve">License: see package </w:t>
      </w:r>
      <w:r>
        <w:t>LICENSE</w:t>
      </w:r>
      <w:r>
        <w:t xml:space="preserve"> file.</w:t>
      </w:r>
    </w:p>
    <w:p>
      <w:pPr>
        <w:pStyle w:val="ListBullet"/>
      </w:pPr>
      <w:r>
        <w:t>Note: repository and DOI placeholders are intentionally retained until release archival is finalized.</w:t>
      </w:r>
    </w:p>
    <w:p>
      <w:pPr>
        <w:pStyle w:val="Heading2"/>
      </w:pPr>
      <w:r>
        <w:t>Data availability</w:t>
      </w:r>
    </w:p>
    <w:p>
      <w:r>
        <w:t xml:space="preserve">No new participant-level clinical data were generated for this software article package. Example dataset for reviewer walkthrough: </w:t>
      </w:r>
      <w:r>
        <w:t>analysis\COMPUTATIONAL_BENCHMARKS.md</w:t>
      </w:r>
      <w:r>
        <w:t>. Additional project data assets, where present, remain available within the local package tree.</w:t>
      </w:r>
    </w:p>
    <w:p>
      <w:pPr>
        <w:pStyle w:val="Heading2"/>
      </w:pPr>
      <w:r>
        <w:t>Reporting guidelines</w:t>
      </w:r>
    </w:p>
    <w:p>
      <w:r>
        <w:t xml:space="preserve">Real-peer-review-aligned checklist included: </w:t>
      </w:r>
      <w:r>
        <w:t>F1000_Submission_Checklist_RealReview.md</w:t>
      </w:r>
      <w:r>
        <w:t>.</w:t>
      </w:r>
    </w:p>
    <w:p>
      <w:pPr>
        <w:pStyle w:val="Heading2"/>
      </w:pPr>
      <w:r>
        <w:t>Declarations</w:t>
      </w:r>
    </w:p>
    <w:p>
      <w:pPr>
        <w:pStyle w:val="Heading3"/>
      </w:pPr>
      <w:r>
        <w:t>Competing interests</w:t>
      </w:r>
    </w:p>
    <w:p>
      <w:r>
        <w:t>The author declares that no competing interests were disclosed.</w:t>
      </w:r>
    </w:p>
    <w:p>
      <w:pPr>
        <w:pStyle w:val="Heading3"/>
      </w:pPr>
      <w:r>
        <w:t>Grant information</w:t>
      </w:r>
    </w:p>
    <w:p>
      <w:r>
        <w:t>No specific grant was declared for this manuscript draft.</w:t>
      </w:r>
    </w:p>
    <w:p>
      <w:pPr>
        <w:pStyle w:val="Heading3"/>
      </w:pPr>
      <w:r>
        <w:t>Author contributions (CRediT)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CRediT roles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Mahmood Ahmad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Conceptualization; Software; Validation; Data curation; Writing - original draft; Writing - review and editing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Niraj Kumar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Bilaal Dar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Laiba Khan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Andrew Woo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</w:tbl>
    <w:p/>
    <w:p>
      <w:pPr>
        <w:pStyle w:val="Heading3"/>
      </w:pPr>
      <w:r>
        <w:t>Acknowledgements</w:t>
      </w:r>
    </w:p>
    <w:p>
      <w:r>
        <w:t>The author acknowledges contributors to open statistical methods and reproducible software engineering practices.</w:t>
      </w:r>
    </w:p>
    <w:p>
      <w:pPr>
        <w:pStyle w:val="Heading2"/>
      </w:pPr>
      <w:r>
        <w:t>References</w:t>
      </w:r>
    </w:p>
    <w:p>
      <w:r>
        <w:t>1. DerSimonian R, Laird N. Meta-analysis in clinical trials. Controlled Clinical Trials. 1986;7(3):177-188.</w:t>
      </w:r>
    </w:p>
    <w:p>
      <w:r>
        <w:t>2. Higgins JPT, Thompson SG. Quantifying heterogeneity in a meta-analysis. Statistics in Medicine. 2002;21(11):1539-1558.</w:t>
      </w:r>
    </w:p>
    <w:p>
      <w:r>
        <w:t>3. Page MJ, McKenzie JE, Bossuyt PM, et al. The PRISMA 2020 statement: an updated guideline for reporting systematic reviews. BMJ. 2021;372:n71.</w:t>
      </w:r>
    </w:p>
    <w:p>
      <w:r>
        <w:t>4. Guyatt GH, Oxman AD, Vist GE, et al. GRADE: an emerging consensus on rating quality of evidence and strength of recommendations. BMJ. 2008;336(7650):924-926.</w:t>
      </w:r>
    </w:p>
    <w:p>
      <w:r>
        <w:t>5. Fay C, Rochette S, Guyader V, Girard C. Engineering Production-Grade Shiny Apps. Chapman and Hall/CRC. 2022.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t xml:space="preserve">Page </w:t>
    </w:r>
    <w:r>
      <w:rPr>
        <w:rFonts w:ascii="Calibri" w:hAnsi="Calibri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mbria" w:hAnsi="Cambria"/>
        <w:color w:val="595959"/>
        <w:sz w:val="17"/>
      </w:rPr>
      <w:t>Pairwise70: a software tool for reproducible evidence-synthesis and modeling workflows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0F4C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mbria" w:hAnsi="Cambria"/>
      <w:b/>
      <w:bCs/>
      <w:color w:val="0F4C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mbria" w:hAnsi="Cambria"/>
      <w:b/>
      <w:bCs/>
      <w:color w:val="0F4C7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mbria" w:hAnsi="Cambria"/>
      <w:b/>
      <w:bCs/>
      <w:i/>
      <w:iCs/>
      <w:color w:val="0F4C7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