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0" w:after="120"/>
      </w:pPr>
      <w:r>
        <w:rPr>
          <w:rFonts w:ascii="Calibri" w:hAnsi="Calibri" w:cs="Calibri"/>
          <w:rFonts w:ascii="Calibri" w:hAnsi="Calibri"/>
          <w:b/>
          <w:sz w:val="24"/>
        </w:rPr>
        <w:t>African-cohort classification sensitivity in long-acting HIV PrEP meta-analyses: a systematic calibration study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b/>
          <w:sz w:val="22"/>
        </w:rPr>
        <w:t>Background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sz w:val="22"/>
        </w:rPr>
        <w:t>Long-acting HIV pre-exposure prophylaxis (LA-PrEP) trials have enrolled predominantly African participants, yet it is unknown how reliably published meta-analyses recognise and report this African cohort composition. We measured the sensitivity and specificity of MA-level African-cohort claims against a structured ground truth.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b/>
          <w:sz w:val="22"/>
        </w:rPr>
        <w:t>Methods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sz w:val="22"/>
        </w:rPr>
        <w:t>We identified 20 systematic reviews and meta-analyses of LA-PrEP efficacy published 2020-2026 via PubMed. For each of 54 (MA, trial) pairs we applied a three-layer algorithm (Layer-M: explicit count, table, and narrative) to classify whether the MA explicitly recognised the trial as African-cohort. Ground truth (D3) was defined as &gt;=50% enrolment from African sites, derived from AACT structured country data for 7 LA-PrEP trials. Sensitivity and specificity were estimated with clustered bootstrap (n_clusters=20, 10,000 replicates). All code and fixtures are version-controlled at github.com/mahmood726-cyber/africa-hiv-prep-atlas (tag v0.1.0).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b/>
          <w:sz w:val="22"/>
        </w:rPr>
        <w:t>Results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sz w:val="22"/>
        </w:rPr>
        <w:t>Against the D3 ground truth, MA African-cohort classification achieved 35% sensitivity (95% CI 15-60%) and 71% specificity (95% CI 44-94%). The confusion matrix was: TP=13, FP=5, FN=24, TN=12. 65% of actually-African LA-PrEP trials (24/37 MA-trial pairs) were cited but not classified as African across any of the three Layer-M layers. The pre-specified D2 sensitivity sweep (&gt;=50% sites African) produced an identical confusion matrix to D3, confirming the result is invariant across reasonable site-share vs enrolment-share thresholds; D1 (&gt;=1 African site) was non-discriminating because every fixture has at least one African site (TN=0). Cost-effectiveness MAs (2/20) contributed 5 false negatives through citation-by-number rather than narrative trial-naming. Pre-IRR working numbers; final values pending kappa &gt;= 0.80 dual-rater audit (Task 20).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b/>
          <w:sz w:val="22"/>
        </w:rPr>
        <w:t>Discussion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sz w:val="22"/>
        </w:rPr>
        <w:t>MAs systematically under-detect African cohort composition in LA-PrEP trials. The calibration gap is largest for economic and indirect-comparison MAs that cite trials by reference number. Standardised African-cohort reporting fields in SR protocols would reduce downstream classification error. Wide bootstrap confidence intervals reflect the small effective number of independent MAs; the blinded IRR audit will provide tighter estimates.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b/>
          <w:sz w:val="22"/>
        </w:rPr>
        <w:t>Data Availability</w:t>
      </w:r>
    </w:p>
    <w:p>
      <w:pPr>
        <w:spacing w:line="360" w:lineRule="auto" w:before="0" w:after="120"/>
      </w:pPr>
      <w:r>
        <w:rPr>
          <w:rFonts w:ascii="Calibri" w:hAnsi="Calibri" w:cs="Calibri"/>
          <w:rFonts w:ascii="Calibri" w:hAnsi="Calibri"/>
          <w:sz w:val="22"/>
        </w:rPr>
        <w:t>All data, code, and pre-registration materials are openly available at github.com/mahmood726-cyber/africa-hiv-prep-atlas (tag v0.1.0). atlas.csv is pinned byte-for-byte at the prereg-v0.1.0-amend-1 tag.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