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March 5, 2026</w:t>
      </w:r>
    </w:p>
    <w:p>
      <w:r>
        <w:t>F1000Research Editorial Team</w:t>
      </w:r>
    </w:p>
    <w:p>
      <w:r>
        <w:t>Dear Editors,</w:t>
      </w:r>
    </w:p>
    <w:p>
      <w:r>
        <w:t>I am pleased to submit our software tool article, 'Dose Response Pro v18.1: an in-browser software tool for dose-response meta-analysis and sensitivity workflows,' for consideration at F1000Research.</w:t>
      </w:r>
    </w:p>
    <w:p>
      <w:r>
        <w:t>Dose-response evidence synthesis is difficult and requires repeated model fitting with heterogeneity checks to get to publication-quality visual output. Dose Response Pro v18.1 allows these workflows in a single HTML file.</w:t>
      </w:r>
    </w:p>
    <w:p>
      <w:r>
        <w:t>We have created this program as a standalone HTML and JavaScript single-page tool. The interface is easy to use and takes study-level data entry and CSV import. The model-parameter controls, live curve plotting, subgroup and sensitivity modules, and publication-bias views are all visible on the screen as clickable buttons. It uses export utilities, including R-oriented helper output.</w:t>
      </w:r>
    </w:p>
    <w:p>
      <w:r>
        <w:t>The software was used to demonstrate our use cases in end-to-end browser workflows. This involved data input and then immediate model execution.</w:t>
      </w:r>
    </w:p>
    <w:p>
      <w:r>
        <w:t>Dose Response Pro v18.1 uses a browser-native workflow for evidence synthesis. It represents a quicker, validated way of doing this type of analysis. It is also easy to use.</w:t>
      </w:r>
    </w:p>
    <w:p>
      <w:r>
        <w:t>This submission is intended to provide a practical and transparent software workflow for evidence synthesis users. The manuscript has been approved by the author and is not under consideration elsewhere.</w:t>
      </w:r>
    </w:p>
    <w:p>
      <w:r>
        <w:t>Thank you for your consideration.</w:t>
      </w:r>
    </w:p>
    <w:p>
      <w:r>
        <w:t>Sincerely,</w:t>
      </w:r>
    </w:p>
    <w:p>
      <w:r>
        <w:t>Mahmood Ahmad</w:t>
      </w:r>
    </w:p>
    <w:p>
      <w:r>
        <w:t>Royal Free Hospital</w:t>
      </w:r>
    </w:p>
    <w:p>
      <w:r>
        <w:t>mahmood.ahmad2@nhs.net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