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Dose Response Pro v18.1: an in-browser software tool for dose-response meta-analysis and sensitivity workflows</w:t>
      </w:r>
    </w:p>
    <w:p>
      <w:pPr>
        <w:pStyle w:val="Heading2"/>
      </w:pPr>
      <w:r>
        <w:t>Authors</w:t>
      </w:r>
    </w:p>
    <w:p>
      <w:pPr>
        <w:pStyle w:val="ListBullet"/>
      </w:pPr>
      <w:r>
        <w:t>Mahmood Ahmad [1,2]</w:t>
      </w:r>
    </w:p>
    <w:p>
      <w:pPr>
        <w:pStyle w:val="ListBullet"/>
      </w:pPr>
      <w:r>
        <w:t>Niraj Kumar [1]</w:t>
      </w:r>
    </w:p>
    <w:p>
      <w:pPr>
        <w:pStyle w:val="ListBullet"/>
      </w:pPr>
      <w:r>
        <w:t>Bilaal Dar [3]</w:t>
      </w:r>
    </w:p>
    <w:p>
      <w:pPr>
        <w:pStyle w:val="ListBullet"/>
      </w:pPr>
      <w:r>
        <w:t>Laiba Khan [1]</w:t>
      </w:r>
    </w:p>
    <w:p>
      <w:pPr>
        <w:pStyle w:val="ListBullet"/>
      </w:pPr>
      <w:r>
        <w:t>Andrew Woo [4]</w:t>
      </w:r>
    </w:p>
    <w:p>
      <w:pPr>
        <w:pStyle w:val="ListBullet"/>
      </w:pPr>
      <w:r>
        <w:t>Corresponding author: Andrew Woo (andy2709w@gmail.com)</w:t>
      </w:r>
    </w:p>
    <w:p>
      <w:pPr>
        <w:pStyle w:val="Heading2"/>
      </w:pPr>
      <w:r>
        <w:t>Affiliations</w:t>
      </w:r>
    </w:p>
    <w:p>
      <w:r>
        <w:t>1. Royal Free Hospital</w:t>
      </w:r>
    </w:p>
    <w:p>
      <w:r>
        <w:t>2. Tahir Heart Institute Rabwah</w:t>
      </w:r>
    </w:p>
    <w:p>
      <w:r>
        <w:t>3. King's College Medical School</w:t>
      </w:r>
    </w:p>
    <w:p>
      <w:r>
        <w:t>4. St George's Medical School</w:t>
      </w:r>
    </w:p>
    <w:p>
      <w:pPr>
        <w:pStyle w:val="Heading2"/>
      </w:pPr>
      <w:r>
        <w:t>Abstract</w:t>
      </w:r>
    </w:p>
    <w:p>
      <w:r>
        <w:rPr>
          <w:b/>
        </w:rPr>
        <w:t>Background:</w:t>
      </w:r>
      <w:r>
        <w:t xml:space="preserve"> Dose-response evidence synthesis often requires repeated model fitting, heterogeneity checks, and publication-quality visual output during protocol refinement. Dose Response Pro v18.1 was designed to provide these workflows in a single browser interface.</w:t>
      </w:r>
    </w:p>
    <w:p>
      <w:r>
        <w:rPr>
          <w:b/>
        </w:rPr>
        <w:t>Methods:</w:t>
      </w:r>
      <w:r>
        <w:t xml:space="preserve"> The application is delivered as a standalone HTML and JavaScript single-page tool. The interface combines study-level data entry, CSV import, model-parameter controls, live curve plotting, subgroup and sensitivity modules, publication-bias views, and export utilities including R-oriented helper output. A Playwright browser workflow was used on 2026-03-01 to capture representative full-page interface states from the local runnable build.</w:t>
      </w:r>
    </w:p>
    <w:p>
      <w:r>
        <w:rPr>
          <w:b/>
        </w:rPr>
        <w:t>Results:</w:t>
      </w:r>
      <w:r>
        <w:t xml:space="preserve"> The software completed end-to-end browser workflows for data input, model execution, visual analytics, and export within the domain-specific interface.</w:t>
      </w:r>
    </w:p>
    <w:p>
      <w:r>
        <w:rPr>
          <w:b/>
        </w:rPr>
        <w:t>Conclusions:</w:t>
      </w:r>
      <w:r>
        <w:t xml:space="preserve"> Dose Response Pro v18.1 provides a practical browser-native workflow for evidence synthesis; final submission readiness depends on attaching a public repository link and DOI-archived release metadata.</w:t>
      </w:r>
    </w:p>
    <w:p>
      <w:pPr>
        <w:pStyle w:val="Heading2"/>
      </w:pPr>
      <w:r>
        <w:t>Keywords</w:t>
      </w:r>
    </w:p>
    <w:p>
      <w:r>
        <w:t>dose-response meta-analysis; evidence synthesis; sensitivity analysis; subgroup analysis; browser software</w:t>
      </w:r>
    </w:p>
    <w:p>
      <w:pPr>
        <w:pStyle w:val="Heading2"/>
      </w:pPr>
      <w:r>
        <w:t>Visual Abstract</w:t>
      </w:r>
    </w:p>
    <w:p>
      <w:pPr>
        <w:pStyle w:val="Heading3"/>
      </w:pPr>
      <w:r>
        <w:t>Workflow overview</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Panel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Key message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the software does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Reviewer-check evidence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Clinical problem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Evidence-synthesis workflows are often fragmented and hard to audit.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Consolidates data input, model execution, diagnostics, and exports in one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Manuscript Methods + reproducibility checklist.</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Inputs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Reproducibility depends on explicit data/schema and parameter states.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Uses user-provided or demo datasets with configurable model and sensitivity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Use-case walkthrough + saved run configuration.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Analysis core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Credible conclusions require transparent estimation and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Runs primary model(s), heterogeneity handling, and sensitivity modules with exportable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Results/diagnostic tables + validation artifact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Output and interpretation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Outputs must be interpretable, bounded, and independently checkable.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Produces pooled estimates, plots, diagnostics, and reporting exports for independent review.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Validation evidence table + checklist-linked artifacts.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Claim boundary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Software articles should avoid unsupported superiority claims.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States limitations, scope, and pending metadata requirements explicitly.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Discussion limitations + submission blockers checklist.</w:t>
            </w:r>
          </w:p>
        </w:tc>
      </w:tr>
    </w:tbl>
    <w:p/>
    <w:p>
      <w:pPr>
        <w:pStyle w:val="Heading2"/>
      </w:pPr>
      <w:r>
        <w:t>Introduction</w:t>
      </w:r>
    </w:p>
    <w:p>
      <w:r>
        <w:t>Dose-response synthesis is often slowed by fragmented workflows across data preparation, model fitting, sensitivity checks, and reporting. That fragmentation increases transcription risk and makes protocol-level iteration harder to audit.</w:t>
      </w:r>
    </w:p>
    <w:p>
      <w:r>
        <w:t>Dose Response Pro v18.1 consolidates these tasks in a browser-native workflow for study-level dose analyses. The manuscript focuses on operational capability, transparent assumptions, and reproducible outputs rather than broad performance claims.</w:t>
      </w:r>
    </w:p>
    <w:p>
      <w:pPr>
        <w:pStyle w:val="Heading3"/>
      </w:pPr>
      <w:r>
        <w:t>Positioning against existing tools</w:t>
      </w:r>
    </w:p>
    <w:p>
      <w:r>
        <w:t>This package is positioned relative to established options including CRSU/MetaInsight web tools, Comprehensive Meta-Analysis (CMA), Stata-based workflows, and package-driven R pipelines. The intended contribution here is workflow transparency, reproducibility scaffolding, and explicit claim boundaries, not blanket superiority over existing platforms.</w:t>
      </w:r>
    </w:p>
    <w:p>
      <w:pPr>
        <w:pStyle w:val="Heading3"/>
      </w:pPr>
      <w:r>
        <w:t>Table 1. Positioning matrix</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Dimension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This package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Established alternatives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Claim boundary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goal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Transparent, reproducible end-to-end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Mature GUIs/statistical packages with broad legacy adoption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Scope limited to demonstrated workflows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User profile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Clinicians/researchers needing guided reproducibility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Advanced analysts and mixed-skill teams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Complementary use is recommended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Strength emphasis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Auditability, artifact linkage, structured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Feature breadth and ecosystem maturity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Interpret strengths relative to use case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Reproducibility support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Walkthrough + validation summary + checklist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Varies by tool/package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Claims remain artifact-bounded</w:t>
            </w:r>
          </w:p>
        </w:tc>
      </w:tr>
    </w:tbl>
    <w:p/>
    <w:p>
      <w:pPr>
        <w:pStyle w:val="Heading2"/>
      </w:pPr>
      <w:r>
        <w:t>Methods</w:t>
      </w:r>
    </w:p>
    <w:p>
      <w:pPr>
        <w:pStyle w:val="Heading3"/>
      </w:pPr>
      <w:r>
        <w:t>Implementation</w:t>
      </w:r>
    </w:p>
    <w:p>
      <w:r>
        <w:t>The tool is implemented as a standalone HTML and JavaScript application that executes fully in the browser. The runtime coordinates study-level input parsing, effect-size transformation, heterogeneity handling, dose-response model fitting, and chart/table rendering with immediate UI feedback. This design supports low-friction deployment while preserving deterministic user-driven workflows.</w:t>
      </w:r>
    </w:p>
    <w:p>
      <w:pPr>
        <w:pStyle w:val="Heading3"/>
      </w:pPr>
      <w:r>
        <w:t>Installation and local execution requirements</w:t>
      </w:r>
    </w:p>
    <w:p>
      <w:pPr>
        <w:pStyle w:val="ListBullet"/>
      </w:pPr>
      <w:r>
        <w:t xml:space="preserve">Confirm required runtime dependencies listed in </w:t>
      </w:r>
      <w:r>
        <w:t>README.md</w:t>
      </w:r>
      <w:r>
        <w:t xml:space="preserve"> and project environment files.</w:t>
      </w:r>
    </w:p>
    <w:p>
      <w:pPr>
        <w:pStyle w:val="ListBullet"/>
      </w:pPr>
      <w:r>
        <w:t>Use a clean environment for first-run verification to avoid hidden local-state effects.</w:t>
      </w:r>
    </w:p>
    <w:p>
      <w:pPr>
        <w:pStyle w:val="ListBullet"/>
      </w:pPr>
      <w:r>
        <w:t>Run the documented primary entry point and capture logs/screenshots for reproducibility notes.</w:t>
      </w:r>
    </w:p>
    <w:p>
      <w:pPr>
        <w:pStyle w:val="ListBullet"/>
      </w:pPr>
      <w:r>
        <w:t>If package-specific dependencies are unavailable, record the exact version mismatch and fallback behavior.</w:t>
      </w:r>
    </w:p>
    <w:p>
      <w:pPr>
        <w:pStyle w:val="Heading3"/>
      </w:pPr>
      <w:r>
        <w:t>Operation</w:t>
      </w:r>
    </w:p>
    <w:p>
      <w:pPr>
        <w:pStyle w:val="ListBullet"/>
      </w:pPr>
      <w:r>
        <w:t xml:space="preserve">Launch </w:t>
      </w:r>
      <w:r>
        <w:t>dose-response-pro.html</w:t>
      </w:r>
      <w:r>
        <w:t xml:space="preserve"> in a modern browser (or serve from the app directory using </w:t>
      </w:r>
      <w:r>
        <w:t>python -m http.server 8000</w:t>
      </w:r>
      <w:r>
        <w:t>).</w:t>
      </w:r>
    </w:p>
    <w:p>
      <w:pPr>
        <w:pStyle w:val="ListBullet"/>
      </w:pPr>
      <w:r>
        <w:t>Import the demonstration dataset or enter study rows manually, including dose, effect, and variance-related fields.</w:t>
      </w:r>
    </w:p>
    <w:p>
      <w:pPr>
        <w:pStyle w:val="ListBullet"/>
      </w:pPr>
      <w:r>
        <w:t>Configure model options (functional form, heterogeneity assumptions, and sensitivity settings) and execute the analysis.</w:t>
      </w:r>
    </w:p>
    <w:p>
      <w:pPr>
        <w:pStyle w:val="ListBullet"/>
      </w:pPr>
      <w:r>
        <w:t>Inspect curve fit, pooled estimates, and diagnostics, then export outputs for reporting and independent verification.</w:t>
      </w:r>
    </w:p>
    <w:p>
      <w:pPr>
        <w:pStyle w:val="Heading3"/>
      </w:pPr>
      <w:r>
        <w:t>Table 2. Minimum input schema and validation checks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Input field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Required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rule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Failure risk if missing/invalid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Study identifier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Unique per row/group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Mislabelled outputs, merge errors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Effect/endpoint variables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Numeric + interpretable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Invalid model estimation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Uncertainty/count fields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Non-negative and non-null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Biased weighting or unstable inference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Model-setting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Explicitly recorded at run time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Non-reproducible reruns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Source file provenance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Recommended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Track input path and version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Ambiguous audit trail</w:t>
            </w:r>
          </w:p>
        </w:tc>
      </w:tr>
    </w:tbl>
    <w:p/>
    <w:p>
      <w:pPr>
        <w:pStyle w:val="Heading3"/>
      </w:pPr>
      <w:r>
        <w:t>Core equations</w:t>
      </w:r>
    </w:p>
    <w:p>
      <w:r>
        <w:t>Key equations used in this manuscript are summarized in Table EQ1.</w:t>
      </w:r>
    </w:p>
    <w:p>
      <w:pPr>
        <w:pStyle w:val="Heading3"/>
      </w:pPr>
      <w:r>
        <w:t>Equation summary table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Eq. ID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Model 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Expression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Interpretation role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E1</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Dose-response meta-regression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y_i = \beta_0 + \beta_1 d_i + \beta_2 d_i^2 + u_i + \varepsilon_i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Specifies the dose-effect functional form used to estimate the primary curve.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variance structure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u_i \sim \mathcal{N}(0,\tau^2), \; \varepsilon_i \sim \mathcal{N}(0,v_i)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Defines between-study variability and within-study error assumptions for uncertainty estimation.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E3</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Random-effects pooled estimator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\hat{\theta} = \frac{\sum_i w_i \theta_i}{\sum_i w_i}, \quad w_i = \frac{1}{v_i + \tau^2}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Computes the pooled effect as a precision-weighted average under heterogeneity.</w:t>
            </w:r>
          </w:p>
        </w:tc>
      </w:tr>
    </w:tbl>
    <w:p/>
    <w:p>
      <w:pPr>
        <w:pStyle w:val="Heading3"/>
      </w:pPr>
      <w:r>
        <w:t>Reproducibility and validation</w:t>
      </w:r>
    </w:p>
    <w:p>
      <w:r>
        <w:t>All analytic states are controlled through explicit user-configurable parameters and exportable outputs. In this manuscript, demonstration workflows were repeated under fixed settings to confirm stable behavior across reruns, and figure generation was standardized to full-page captures for consistent interpretation.</w:t>
      </w:r>
    </w:p>
    <w:p>
      <w:pPr>
        <w:pStyle w:val="Heading4"/>
      </w:pPr>
      <w:r>
        <w:t>R validation evidence table</w:t>
      </w:r>
    </w:p>
    <w:tbl>
      <w:tblPr>
        <w:tblStyle w:val="TableGrid"/>
        <w:tblW w:type="auto" w:w="0"/>
        <w:tblLayout w:type="autofit"/>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dimension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Evidence summary</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Artifact source</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Comparator environment</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 version 4.5.2 (2025-10-31 ucrt); dosresmeta 2.2.0, metafor 4.8.0, mvmeta 1.0.3</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tests/r_validation_results.json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scope</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3 scenarios; passed=3, failed=0.</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tests/r_validation_results.json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Agreement summary</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overall_pass=True; max \</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beta diff\</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=7.56e-06, \</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SE diff\</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=4.38e-06, \</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tau^2 diff\</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=6.65e-09.</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tests/r_validation_results.json</w:t>
            </w:r>
          </w:p>
        </w:tc>
      </w:tr>
      <w:tr>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Tolerance criteria</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beta &lt;= 0.02; SE &lt;= 0.05; tau^2 &lt;= 0.02.</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tests/r_validation_results.json</w:t>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c>
          <w:tcPr>
            <w:tcW w:type="dxa" w:w="9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p>
        </w:tc>
      </w:tr>
    </w:tbl>
    <w:p/>
    <w:p>
      <w:pPr>
        <w:pStyle w:val="Heading3"/>
      </w:pPr>
      <w:r>
        <w:t>Core functionality exposed in the interface</w:t>
      </w:r>
    </w:p>
    <w:p>
      <w:pPr>
        <w:pStyle w:val="ListBullet"/>
      </w:pPr>
      <w:r>
        <w:t>Interactive data ingestion and validation controls</w:t>
      </w:r>
    </w:p>
    <w:p>
      <w:pPr>
        <w:pStyle w:val="ListBullet"/>
      </w:pPr>
      <w:r>
        <w:t>Configurable analysis models with sensitivity options</w:t>
      </w:r>
    </w:p>
    <w:p>
      <w:pPr>
        <w:pStyle w:val="ListBullet"/>
      </w:pPr>
      <w:r>
        <w:t>Integrated visualization panels for interpretive review</w:t>
      </w:r>
    </w:p>
    <w:p>
      <w:pPr>
        <w:pStyle w:val="ListBullet"/>
      </w:pPr>
      <w:r>
        <w:t>Export pathways for reporting and reproducibility artifacts</w:t>
      </w:r>
    </w:p>
    <w:p>
      <w:pPr>
        <w:pStyle w:val="Heading3"/>
      </w:pPr>
      <w:r>
        <w:t>Reviewer-informed reproducibility safeguards</w:t>
      </w:r>
    </w:p>
    <w:p>
      <w:pPr>
        <w:pStyle w:val="ListBullet"/>
      </w:pPr>
      <w:r>
        <w:t>The manuscript includes a concrete runnable workflow from data import to export, avoiding outline-only reporting.</w:t>
      </w:r>
    </w:p>
    <w:p>
      <w:pPr>
        <w:pStyle w:val="ListBullet"/>
      </w:pPr>
      <w:r>
        <w:t>Example/demo datasets are used for reviewer walkthroughs so outputs can be replicated without author-specific data access.</w:t>
      </w:r>
    </w:p>
    <w:p>
      <w:pPr>
        <w:pStyle w:val="ListBullet"/>
      </w:pPr>
      <w:r>
        <w:t>Validation artifacts are declared in a structured table with explicit source paths, reducing unverifiable performance claims.</w:t>
      </w:r>
    </w:p>
    <w:p>
      <w:pPr>
        <w:pStyle w:val="ListBullet"/>
      </w:pPr>
      <w:r>
        <w:t>Claims are bounded to tested scenarios and should be interpreted with the documented tolerance and caveat context.</w:t>
      </w:r>
    </w:p>
    <w:p>
      <w:pPr>
        <w:pStyle w:val="Heading3"/>
      </w:pPr>
      <w:r>
        <w:t>Output interpretation guidance</w:t>
      </w:r>
    </w:p>
    <w:p>
      <w:r>
        <w:t>Interpret outputs jointly across effect estimates, uncertainty intervals, heterogeneity diagnostics, and sensitivity results. For small study counts, rare-event settings, or model-mismatch scenarios, treat asymmetry tests and pooled estimates cautiously. When assumptions are only approximately met (e.g., large-sample approximations), results should be reported with explicit caveats.</w:t>
      </w:r>
    </w:p>
    <w:p>
      <w:pPr>
        <w:pStyle w:val="Heading3"/>
      </w:pPr>
      <w:r>
        <w:t>Table 4. Output-to-decision interpretation guide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Output type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tells you</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does not guarantee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Reporting recommendation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pooled/model estimate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Central tendency under stated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Universal validity across all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with assumptions and uncertainty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metrics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Between-study variability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Definitive cause of heterogeneity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Pair with subgroup/sensitivity rationale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Bias/asymmetry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Potential small-study/publication-bias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Definitive proof of bias mechanism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small-k limitations explicitly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analyses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Robustness under alternate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Immunity to all model misspecification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 scenario-wise evidence table</w:t>
            </w:r>
          </w:p>
        </w:tc>
      </w:tr>
    </w:tbl>
    <w:p/>
    <w:p>
      <w:pPr>
        <w:pStyle w:val="Heading2"/>
      </w:pPr>
      <w:r>
        <w:t>Use cases</w:t>
      </w:r>
    </w:p>
    <w:p>
      <w:pPr>
        <w:pStyle w:val="Heading3"/>
      </w:pPr>
      <w:r>
        <w:t>Demonstration dataset used for manuscript walkthrough</w:t>
      </w:r>
    </w:p>
    <w:p>
      <w:pPr>
        <w:pStyle w:val="ListBullet"/>
      </w:pPr>
      <w:r>
        <w:t>Dataset profile: Dose-response demo dataset with multiple dose levels per study (continuous dose and binary outcome fields)</w:t>
      </w:r>
    </w:p>
    <w:p>
      <w:pPr>
        <w:pStyle w:val="ListBullet"/>
      </w:pPr>
      <w:r>
        <w:t>Rationale: a fixed demo dataset enables reproducible method demonstration and easier reviewer verification.</w:t>
      </w:r>
    </w:p>
    <w:p>
      <w:pPr>
        <w:pStyle w:val="Heading3"/>
      </w:pPr>
      <w:r>
        <w:t>Use case 1: Demo dose-response reproduction</w:t>
      </w:r>
    </w:p>
    <w:p>
      <w:r>
        <w:t>Workflow:</w:t>
      </w:r>
    </w:p>
    <w:p>
      <w:pPr>
        <w:pStyle w:val="ListBullet"/>
      </w:pPr>
      <w:r>
        <w:t>Open the app and import the demo CSV or equivalent study table with dose, events, and sample-size columns.</w:t>
      </w:r>
    </w:p>
    <w:p>
      <w:pPr>
        <w:pStyle w:val="ListBullet"/>
      </w:pPr>
      <w:r>
        <w:t>Run the primary model with default heterogeneity settings.</w:t>
      </w:r>
    </w:p>
    <w:p>
      <w:pPr>
        <w:pStyle w:val="ListBullet"/>
      </w:pPr>
      <w:r>
        <w:t>Inspect the live dose-response curve and model coefficient panel.</w:t>
      </w:r>
    </w:p>
    <w:p>
      <w:pPr>
        <w:pStyle w:val="ListBullet"/>
      </w:pPr>
      <w:r>
        <w:t>Export the summary table and R helper code for independent verification.</w:t>
      </w:r>
    </w:p>
    <w:p>
      <w:r>
        <w:t>Expected outputs for the manuscript:</w:t>
      </w:r>
    </w:p>
    <w:p>
      <w:pPr>
        <w:pStyle w:val="ListBullet"/>
      </w:pPr>
      <w:r>
        <w:t>Model fit summary with effect estimates and uncertainty</w:t>
      </w:r>
    </w:p>
    <w:p>
      <w:pPr>
        <w:pStyle w:val="ListBullet"/>
      </w:pPr>
      <w:r>
        <w:t>Dose-response visualization suitable for manuscript figures</w:t>
      </w:r>
    </w:p>
    <w:p>
      <w:pPr>
        <w:pStyle w:val="ListBullet"/>
      </w:pPr>
      <w:r>
        <w:t>Exportable artifacts for reproducibility logs</w:t>
      </w:r>
    </w:p>
    <w:p>
      <w:pPr>
        <w:pStyle w:val="Heading3"/>
      </w:pPr>
      <w:r>
        <w:t>Use case 2: Sensitivity and subgroup stress test</w:t>
      </w:r>
    </w:p>
    <w:p>
      <w:r>
        <w:t>Workflow:</w:t>
      </w:r>
    </w:p>
    <w:p>
      <w:pPr>
        <w:pStyle w:val="ListBullet"/>
      </w:pPr>
      <w:r>
        <w:t>Re-run the demo analysis after toggling sensitivity options and subgroup definitions.</w:t>
      </w:r>
    </w:p>
    <w:p>
      <w:pPr>
        <w:pStyle w:val="ListBullet"/>
      </w:pPr>
      <w:r>
        <w:t>Compare shape changes in the dose-response curve and pooled effect tables.</w:t>
      </w:r>
    </w:p>
    <w:p>
      <w:pPr>
        <w:pStyle w:val="ListBullet"/>
      </w:pPr>
      <w:r>
        <w:t>Document whether key inferences remain directionally stable.</w:t>
      </w:r>
    </w:p>
    <w:p>
      <w:r>
        <w:t>Expected outputs for the manuscript:</w:t>
      </w:r>
    </w:p>
    <w:p>
      <w:pPr>
        <w:pStyle w:val="ListBullet"/>
      </w:pPr>
      <w:r>
        <w:t>Sensitivity-aware interpretation of model robustness</w:t>
      </w:r>
    </w:p>
    <w:p>
      <w:pPr>
        <w:pStyle w:val="ListBullet"/>
      </w:pPr>
      <w:r>
        <w:t>Transparent subgroup evidence trail for peer review</w:t>
      </w:r>
    </w:p>
    <w:p>
      <w:pPr>
        <w:pStyle w:val="Heading3"/>
      </w:pPr>
      <w:r>
        <w:t>Screenshot interpretation</w:t>
      </w:r>
    </w:p>
    <w:p>
      <w:pPr>
        <w:pStyle w:val="ListBullet"/>
      </w:pPr>
      <w:r>
        <w:t>Figure 1 documents the active analysis interface and confirms operational execution in a browser environment.</w:t>
      </w:r>
    </w:p>
    <w:p>
      <w:pPr>
        <w:pStyle w:val="ListBullet"/>
      </w:pPr>
      <w:r>
        <w:t>During submission, this figure should be paired with a short caption that names the demo dataset and run configuration.</w:t>
      </w:r>
    </w:p>
    <w:p>
      <w:pPr>
        <w:pStyle w:val="Heading3"/>
      </w:pPr>
      <w:r>
        <w:t>Reviewer-facing walkthrough (replicable package check)</w:t>
      </w:r>
    </w:p>
    <w:p>
      <w:r>
        <w:t xml:space="preserve">1. Open the primary application file in </w:t>
      </w:r>
      <w:r>
        <w:t>dosehtml</w:t>
      </w:r>
      <w:r>
        <w:t xml:space="preserve"> and load an included demo/example dataset.</w:t>
      </w:r>
    </w:p>
    <w:p>
      <w:r>
        <w:t>2. Run the default primary analysis and record the main pooled/model outputs.</w:t>
      </w:r>
    </w:p>
    <w:p>
      <w:r>
        <w:t>3. Trigger at least one sensitivity or subgroup option and compare directional stability.</w:t>
      </w:r>
    </w:p>
    <w:p>
      <w:r>
        <w:t>4. Export results and confirm that exported artifacts match on-screen summaries.</w:t>
      </w:r>
    </w:p>
    <w:p>
      <w:r>
        <w:t>5. Cross-check the run against the validation evidence paths listed in the manuscript.</w:t>
      </w:r>
    </w:p>
    <w:p>
      <w:pPr>
        <w:pStyle w:val="Heading3"/>
      </w:pPr>
      <w:r>
        <w:t>User tutorial and onboarding</w:t>
      </w:r>
    </w:p>
    <w:p>
      <w:pPr>
        <w:pStyle w:val="ListBullet"/>
      </w:pPr>
      <w:r>
        <w:t>Use the demonstration dataset path described in the Use Cases section for a first complete run.</w:t>
      </w:r>
    </w:p>
    <w:p>
      <w:pPr>
        <w:pStyle w:val="ListBullet"/>
      </w:pPr>
      <w:r>
        <w:t>Verify that exported outputs are internally consistent with on-screen results.</w:t>
      </w:r>
    </w:p>
    <w:p>
      <w:pPr>
        <w:pStyle w:val="ListBullet"/>
      </w:pPr>
      <w:r>
        <w:t>Use the validation evidence table and artifact paths to cross-check claims before interpretation.</w:t>
      </w:r>
    </w:p>
    <w:p>
      <w:pPr>
        <w:pStyle w:val="ListBullet"/>
      </w:pPr>
      <w:r>
        <w:t>Treat advanced settings cautiously and report any warnings, convergence notes, or caveats in outputs.</w:t>
      </w:r>
    </w:p>
    <w:p>
      <w:pPr>
        <w:pStyle w:val="Heading3"/>
      </w:pPr>
      <w:r>
        <w:t>Table 5. Assumptions, diagnostics, and caution flags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Assumption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Recommended diagnostic</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Caution flag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Effect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Chosen form reflects study design and outcome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Residual pattern + sensitivity reruns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 directional shifts across settings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handling</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assumptions are plausible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Tau/I2/Q-related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Small-k instability or extreme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Approximation regime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Large-sample approximations adequate for data context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Rare-event and small-k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Sparse events / unstable variance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module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Alternative settings should not reverse core interpretation without explanation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Structured scenario comparison table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Inference changes without transparent rationale</w:t>
            </w:r>
          </w:p>
        </w:tc>
      </w:tr>
    </w:tbl>
    <w:p/>
    <w:p>
      <w:pPr>
        <w:pStyle w:val="Heading2"/>
      </w:pPr>
      <w:r>
        <w:t>Discussion</w:t>
      </w:r>
    </w:p>
    <w:p>
      <w:r>
        <w:t>The main strength is practical integration: import, model specification, diagnostics, sensitivity checks, and export occur in one interface with reduced handoff error. The R-validation table documents close agreement for the benchmarked scenarios and provides artifact-level traceability.</w:t>
      </w:r>
    </w:p>
    <w:p>
      <w:r>
        <w:t>Key limitations remain important: validation scope is bounded to available test scenarios, and external submission readiness still depends on final repository pinning, DOI assignment, and version governance. Accordingly, claims should remain aligned to demonstrated use cases and reported tolerances.</w:t>
      </w:r>
    </w:p>
    <w:p>
      <w:pPr>
        <w:pStyle w:val="Heading3"/>
      </w:pPr>
      <w:r>
        <w:t>Limitations and claim boundaries (review-informed)</w:t>
      </w:r>
    </w:p>
    <w:p>
      <w:pPr>
        <w:pStyle w:val="ListBullet"/>
      </w:pPr>
      <w:r>
        <w:t>The software is not presented as a universal replacement for all evidence-synthesis platforms.</w:t>
      </w:r>
    </w:p>
    <w:p>
      <w:pPr>
        <w:pStyle w:val="ListBullet"/>
      </w:pPr>
      <w:r>
        <w:t>Utility claims are limited to demonstrated workflows and validated scenarios reported in this package.</w:t>
      </w:r>
    </w:p>
    <w:p>
      <w:pPr>
        <w:pStyle w:val="ListBullet"/>
      </w:pPr>
      <w:r>
        <w:t>Interpretation quality still depends on user method expertise, data quality, and appropriate model selection.</w:t>
      </w:r>
    </w:p>
    <w:p>
      <w:pPr>
        <w:pStyle w:val="ListBullet"/>
      </w:pPr>
      <w:r>
        <w:t>Public repository and DOI archival remain mandatory final-submission requirements for independent long-term reproducibility.</w:t>
      </w:r>
    </w:p>
    <w:p>
      <w:pPr>
        <w:pStyle w:val="Heading2"/>
      </w:pPr>
      <w:r>
        <w:t>Conclusions</w:t>
      </w:r>
    </w:p>
    <w:p>
      <w:r>
        <w:t>Dose Response Pro v18.1 provides a concise, reproducible browser workflow for dose-response meta-analysis with documented validation evidence. With final repository/DOI metadata completed, it is positioned for transparent software-method reporting.</w:t>
      </w:r>
    </w:p>
    <w:p>
      <w:pPr>
        <w:pStyle w:val="Heading2"/>
      </w:pPr>
      <w:r>
        <w:t>Workflow Figure Blueprint</w:t>
      </w:r>
    </w:p>
    <w:p>
      <w:pPr>
        <w:pStyle w:val="Heading3"/>
      </w:pPr>
      <w:r>
        <w:t>Figure FA1. End-to-end analytical flowchart</w:t>
      </w:r>
    </w:p>
    <w:p>
      <w:r>
        <w:t>Recommended node sequence:</w:t>
      </w:r>
    </w:p>
    <w:p>
      <w:r>
        <w:t>1. Data input and schema checks</w:t>
      </w:r>
    </w:p>
    <w:p>
      <w:r>
        <w:t>2. Model setup and assumptions</w:t>
      </w:r>
    </w:p>
    <w:p>
      <w:r>
        <w:t>3. Primary estimation</w:t>
      </w:r>
    </w:p>
    <w:p>
      <w:r>
        <w:t>4. Diagnostics and heterogeneity review</w:t>
      </w:r>
    </w:p>
    <w:p>
      <w:r>
        <w:t>5. Sensitivity and robustness analysis</w:t>
      </w:r>
    </w:p>
    <w:p>
      <w:r>
        <w:t>6. Export, reporting, and reproducibility checks</w:t>
      </w:r>
    </w:p>
    <w:p>
      <w:r>
        <w:t>Design specifications:</w:t>
      </w:r>
    </w:p>
    <w:p>
      <w:pPr>
        <w:pStyle w:val="ListBullet"/>
      </w:pPr>
      <w:r>
        <w:t>Use clean vector geometry, no decorative backgrounds.</w:t>
      </w:r>
    </w:p>
    <w:p>
      <w:pPr>
        <w:pStyle w:val="ListBullet"/>
      </w:pPr>
      <w:r>
        <w:t>Keep labels short, method-focused, and assumption-aware.</w:t>
      </w:r>
    </w:p>
    <w:p>
      <w:pPr>
        <w:pStyle w:val="ListBullet"/>
      </w:pPr>
      <w:r>
        <w:t>Ensure grayscale legibility for print workflows.</w:t>
      </w:r>
    </w:p>
    <w:p>
      <w:pPr>
        <w:pStyle w:val="ListBullet"/>
      </w:pPr>
      <w:r>
        <w:t>Keep scientific claims in manuscript text/tables; flowchart is explanatory only.</w:t>
      </w:r>
    </w:p>
    <w:p>
      <w:r>
        <w:t>Proposed figure files:</w:t>
      </w:r>
    </w:p>
    <w:p>
      <w:pPr>
        <w:pStyle w:val="ListBullet"/>
      </w:pPr>
      <w:r>
        <w:t>figures/figure00_workflow_flowchart.png</w:t>
      </w:r>
      <w:r>
        <w:t xml:space="preserve"> (working draft)</w:t>
      </w:r>
    </w:p>
    <w:p>
      <w:pPr>
        <w:pStyle w:val="ListBullet"/>
      </w:pPr>
      <w:r>
        <w:t>figures/figure00_workflow_flowchart.tiff</w:t>
      </w:r>
      <w:r>
        <w:t xml:space="preserve"> (submission-ready raster)</w:t>
      </w:r>
    </w:p>
    <w:p>
      <w:pPr>
        <w:pStyle w:val="ListBullet"/>
      </w:pPr>
      <w:r>
        <w:t>figures/figure00_workflow_flowchart.eps</w:t>
      </w:r>
      <w:r>
        <w:t xml:space="preserve"> (submission-ready vector)</w:t>
      </w:r>
    </w:p>
    <w:p>
      <w:pPr>
        <w:pStyle w:val="Heading3"/>
      </w:pPr>
      <w:r>
        <w:t>Infographic-style quick panel</w:t>
      </w:r>
    </w:p>
    <w:p>
      <w:r>
        <w:t>If needed, add a one-panel “study at a glance” infographic summarizing:</w:t>
      </w:r>
    </w:p>
    <w:p>
      <w:pPr>
        <w:pStyle w:val="ListBullet"/>
      </w:pPr>
      <w:r>
        <w:t>Problem context</w:t>
      </w:r>
    </w:p>
    <w:p>
      <w:pPr>
        <w:pStyle w:val="ListBullet"/>
      </w:pPr>
      <w:r>
        <w:t>Workflow contribution</w:t>
      </w:r>
    </w:p>
    <w:p>
      <w:pPr>
        <w:pStyle w:val="ListBullet"/>
      </w:pPr>
      <w:r>
        <w:t>Validation evidence anchor</w:t>
      </w:r>
    </w:p>
    <w:p>
      <w:pPr>
        <w:pStyle w:val="ListBullet"/>
      </w:pPr>
      <w:r>
        <w:t>Claim boundary statement</w:t>
      </w:r>
    </w:p>
    <w:p>
      <w:pPr>
        <w:pStyle w:val="Heading2"/>
      </w:pPr>
      <w:r>
        <w:t>Figures and visual walkthrough</w:t>
      </w:r>
    </w:p>
    <w:p>
      <w:r>
        <w:t>Figure 1. Full-page interface overview.</w:t>
      </w:r>
    </w:p>
    <w:p>
      <w:r>
        <w:t>Figure 2. Full-page model/analysis workflow view.</w:t>
      </w:r>
    </w:p>
    <w:p>
      <w:r>
        <w:t>Figure 3. Full-page results view.</w:t>
      </w:r>
    </w:p>
    <w:p>
      <w:r>
        <w:t>Figure 4. Full-page bias/sensitivity or robustness view.</w:t>
      </w:r>
    </w:p>
    <w:p>
      <w:r>
        <w:t>Figure 5. Full-page reporting/export or advanced workflow view.</w:t>
      </w:r>
    </w:p>
    <w:p>
      <w:r>
        <w:t>Additional workflow and architecture visuals are presented in-document through the visual abstract and structured tables.</w:t>
      </w:r>
    </w:p>
    <w:p>
      <w:pPr>
        <w:pStyle w:val="Heading3"/>
      </w:pPr>
      <w:r>
        <w:t>Submission figure files (separate, 300 DPI; screenshots only)</w:t>
      </w:r>
    </w:p>
    <w:p>
      <w:r>
        <w:t>Only full-page screenshots (Figures 1-5) are submitted as separate figure files.</w:t>
      </w:r>
    </w:p>
    <w:p>
      <w:pPr>
        <w:pStyle w:val="ListBullet"/>
      </w:pPr>
      <w:r>
        <w:t>figures/figure01_overview_fullpage.tiff</w:t>
      </w:r>
      <w:r>
        <w:t xml:space="preserve"> and </w:t>
      </w:r>
      <w:r>
        <w:t>figures/figure01_overview_fullpage.eps</w:t>
      </w:r>
    </w:p>
    <w:p>
      <w:pPr>
        <w:pStyle w:val="ListBullet"/>
      </w:pPr>
      <w:r>
        <w:t>figures/figure02_model_fullpage.tiff</w:t>
      </w:r>
      <w:r>
        <w:t xml:space="preserve"> and </w:t>
      </w:r>
      <w:r>
        <w:t>figures/figure02_model_fullpage.eps</w:t>
      </w:r>
    </w:p>
    <w:p>
      <w:pPr>
        <w:pStyle w:val="ListBullet"/>
      </w:pPr>
      <w:r>
        <w:t>figures/figure03_results_fullpage.tiff</w:t>
      </w:r>
      <w:r>
        <w:t xml:space="preserve"> and </w:t>
      </w:r>
      <w:r>
        <w:t>figures/figure03_results_fullpage.eps</w:t>
      </w:r>
    </w:p>
    <w:p>
      <w:pPr>
        <w:pStyle w:val="ListBullet"/>
      </w:pPr>
      <w:r>
        <w:t>figures/figure04_bias_fullpage.tiff</w:t>
      </w:r>
      <w:r>
        <w:t xml:space="preserve"> and </w:t>
      </w:r>
      <w:r>
        <w:t>figures/figure04_bias_fullpage.eps</w:t>
      </w:r>
    </w:p>
    <w:p>
      <w:pPr>
        <w:pStyle w:val="ListBullet"/>
      </w:pPr>
      <w:r>
        <w:t>figures/figure05_report_fullpage.tiff</w:t>
      </w:r>
      <w:r>
        <w:t xml:space="preserve"> and </w:t>
      </w:r>
      <w:r>
        <w:t>figures/figure05_report_fullpage.eps</w:t>
      </w:r>
    </w:p>
    <w:p>
      <w:pPr>
        <w:pStyle w:val="Heading3"/>
      </w:pPr>
      <w:r>
        <w:t>Table 3. Reproducibility and submission readiness map</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Item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Local artifact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Current status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Action before external submission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Example walkthrough dataset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archive\release-evidence\2026-02-28\docs\STRICT_BEAT_R_BENCHMARK_2026-02-28.md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Verify rerun on clean machine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summary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f1000_artifacts/validation_summary.md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Confirm numbers and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User walkthrough</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f1000_artifacts/tutorial_walkthrough.md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Align screenshots/captions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Repository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[TO_BE_ADDED_GITHUB_OR_GITLAB_URL]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Replace after final tagging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DOI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[TO_BE_ADDED_ZENODO_DOI]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Replace after Zenodo archive creation</w:t>
            </w:r>
          </w:p>
        </w:tc>
      </w:tr>
    </w:tbl>
    <w:p/>
    <w:p>
      <w:pPr>
        <w:pStyle w:val="Heading2"/>
      </w:pPr>
      <w:r>
        <w:t>Software availability</w:t>
      </w:r>
    </w:p>
    <w:p>
      <w:pPr>
        <w:pStyle w:val="ListBullet"/>
      </w:pPr>
      <w:r>
        <w:t xml:space="preserve">Local source package: </w:t>
      </w:r>
      <w:r>
        <w:t>dosehtml</w:t>
      </w:r>
      <w:r>
        <w:t xml:space="preserve"> under </w:t>
      </w:r>
      <w:r>
        <w:t>C:\HTML apps</w:t>
      </w:r>
      <w:r>
        <w:t>.</w:t>
      </w:r>
    </w:p>
    <w:p>
      <w:pPr>
        <w:pStyle w:val="ListBullet"/>
      </w:pPr>
      <w:r>
        <w:t xml:space="preserve">Public repository (placeholder): </w:t>
      </w:r>
      <w:r>
        <w:t>[TO_BE_ADDED_GITHUB_OR_GITLAB_URL]</w:t>
      </w:r>
    </w:p>
    <w:p>
      <w:pPr>
        <w:pStyle w:val="ListBullet"/>
      </w:pPr>
      <w:r>
        <w:t xml:space="preserve">Zenodo DOI (placeholder): </w:t>
      </w:r>
      <w:r>
        <w:t>[TO_BE_ADDED_ZENODO_DOI]</w:t>
      </w:r>
    </w:p>
    <w:p>
      <w:pPr>
        <w:pStyle w:val="ListBullet"/>
      </w:pPr>
      <w:r>
        <w:t>Version: see manuscript title and application UI version label.</w:t>
      </w:r>
    </w:p>
    <w:p>
      <w:pPr>
        <w:pStyle w:val="ListBullet"/>
      </w:pPr>
      <w:r>
        <w:t xml:space="preserve">Reproducibility walkthrough: </w:t>
      </w:r>
      <w:r>
        <w:t>f1000_artifacts/tutorial_walkthrough.md</w:t>
      </w:r>
    </w:p>
    <w:p>
      <w:pPr>
        <w:pStyle w:val="ListBullet"/>
      </w:pPr>
      <w:r>
        <w:t xml:space="preserve">Validation summary: </w:t>
      </w:r>
      <w:r>
        <w:t>f1000_artifacts/validation_summary.md</w:t>
      </w:r>
    </w:p>
    <w:p>
      <w:pPr>
        <w:pStyle w:val="ListBullet"/>
      </w:pPr>
      <w:r>
        <w:t xml:space="preserve">License: see package </w:t>
      </w:r>
      <w:r>
        <w:t>LICENSE</w:t>
      </w:r>
      <w:r>
        <w:t xml:space="preserve"> file.</w:t>
      </w:r>
    </w:p>
    <w:p>
      <w:pPr>
        <w:pStyle w:val="ListBullet"/>
      </w:pPr>
      <w:r>
        <w:t>Note: repository and DOI placeholders are intentionally retained until release archival is finalized.</w:t>
      </w:r>
    </w:p>
    <w:p>
      <w:pPr>
        <w:pStyle w:val="Heading2"/>
      </w:pPr>
      <w:r>
        <w:t>Data availability</w:t>
      </w:r>
    </w:p>
    <w:p>
      <w:r>
        <w:t xml:space="preserve">No new participant-level clinical data were generated for this software article package. Example dataset for reviewer walkthrough: </w:t>
      </w:r>
      <w:r>
        <w:t>archive\release-evidence\2026-02-28\docs\STRICT_BEAT_R_BENCHMARK_2026-02-28.md</w:t>
      </w:r>
      <w:r>
        <w:t>. Additional project data assets, where present, remain available within the local package tree.</w:t>
      </w:r>
    </w:p>
    <w:p>
      <w:pPr>
        <w:pStyle w:val="Heading2"/>
      </w:pPr>
      <w:r>
        <w:t>Reporting guidelines</w:t>
      </w:r>
    </w:p>
    <w:p>
      <w:r>
        <w:t xml:space="preserve">Real-peer-review-aligned checklist included: </w:t>
      </w:r>
      <w:r>
        <w:t>F1000_Submission_Checklist_RealReview.md</w:t>
      </w:r>
      <w:r>
        <w:t xml:space="preserve">. This checklist directly addresses the criticisms documented in </w:t>
      </w:r>
      <w:r>
        <w:t>C:\HTML apps\reviewer Report.txt</w:t>
      </w:r>
      <w:r>
        <w:t>.</w:t>
      </w:r>
    </w:p>
    <w:p>
      <w:pPr>
        <w:pStyle w:val="Heading2"/>
      </w:pPr>
      <w:r>
        <w:t>Declarations</w:t>
      </w:r>
    </w:p>
    <w:p>
      <w:pPr>
        <w:pStyle w:val="Heading3"/>
      </w:pPr>
      <w:r>
        <w:t>Competing interests</w:t>
      </w:r>
    </w:p>
    <w:p>
      <w:r>
        <w:t>The author declares that no competing interests were disclosed.</w:t>
      </w:r>
    </w:p>
    <w:p>
      <w:pPr>
        <w:pStyle w:val="Heading3"/>
      </w:pPr>
      <w:r>
        <w:t>Grant information</w:t>
      </w:r>
    </w:p>
    <w:p>
      <w:r>
        <w:t>No specific grant was declared for this manuscript draft.</w:t>
      </w:r>
    </w:p>
    <w:p>
      <w:pPr>
        <w:pStyle w:val="Heading3"/>
      </w:pPr>
      <w:r>
        <w:t>Author contributions (CRediT)</w:t>
      </w:r>
    </w:p>
    <w:tbl>
      <w:tblPr>
        <w:tblStyle w:val="TableGrid"/>
        <w:tblW w:type="auto" w:w="0"/>
        <w:tblLayout w:type="autofit"/>
        <w:tblLook w:firstColumn="1" w:firstRow="1" w:lastColumn="0" w:lastRow="0" w:noHBand="0" w:noVBand="1" w:val="04A0"/>
      </w:tblPr>
      <w:tblGrid>
        <w:gridCol w:w="4320"/>
        <w:gridCol w:w="4320"/>
      </w:tblGrid>
      <w:tr>
        <w:trPr>
          <w:tblHeader w:val="true"/>
        </w:trP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Author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CRediT roles</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Mahmood Ahmad</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 Software; Validation; Data curation; Writing - original draft; Writing - review and editing</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Niraj Kumar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Bilaal Dar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Laiba Khan</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Andrew Woo</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bl>
    <w:p/>
    <w:p>
      <w:pPr>
        <w:pStyle w:val="Heading3"/>
      </w:pPr>
      <w:r>
        <w:t>Acknowledgements</w:t>
      </w:r>
    </w:p>
    <w:p>
      <w:r>
        <w:t>The author acknowledges contributors to open statistical methods and browser-based scientific visualization ecosystems.</w:t>
      </w:r>
    </w:p>
    <w:p>
      <w:pPr>
        <w:pStyle w:val="Heading2"/>
      </w:pPr>
      <w:r>
        <w:t>References</w:t>
      </w:r>
    </w:p>
    <w:p>
      <w:r>
        <w:t>1. DerSimonian R, Laird N. Meta-analysis in clinical trials. Controlled Clinical Trials. 1986;7(3):177-188.</w:t>
      </w:r>
    </w:p>
    <w:p>
      <w:r>
        <w:t>2. Higgins JPT, Thompson SG. Quantifying heterogeneity in a meta-analysis. Statistics in Medicine. 2002;21(11):1539-1558.</w:t>
      </w:r>
    </w:p>
    <w:p>
      <w:r>
        <w:t>3. Page MJ, McKenzie JE, Bossuyt PM, et al. The PRISMA 2020 statement: an updated guideline for reporting systematic reviews. BMJ. 2021;372:n71.</w:t>
      </w:r>
    </w:p>
    <w:p>
      <w:r>
        <w:t>4. Guyatt GH, Oxman AD, Vist GE, et al. GRADE: an emerging consensus on rating quality of evidence and strength of recommendations. BMJ. 2008;336(7650):924-926.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595959"/>
        <w:sz w:val="17"/>
      </w:rPr>
      <w:t>F1000 Software Tool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mbria" w:hAnsi="Cambria"/>
      <w:b/>
      <w:bCs/>
      <w:color w:val="0F4C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F4C7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F4C7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0F4C7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