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DTA Meta-Analysis Pro v4.9.2: a browser-based software tool for diagnostic test accuracy evidence synthesis</w:t>
      </w:r>
    </w:p>
    <w:p>
      <w:pPr>
        <w:pStyle w:val="Heading2"/>
      </w:pPr>
      <w:r>
        <w:t>Authors</w:t>
      </w:r>
    </w:p>
    <w:p>
      <w:pPr>
        <w:pStyle w:val="ListBullet"/>
      </w:pPr>
      <w:r>
        <w:t>Mahmood Ahmad [1,2]</w:t>
      </w:r>
    </w:p>
    <w:p>
      <w:pPr>
        <w:pStyle w:val="ListBullet"/>
      </w:pPr>
      <w:r>
        <w:t>Niraj Kumar [1]</w:t>
      </w:r>
    </w:p>
    <w:p>
      <w:pPr>
        <w:pStyle w:val="ListBullet"/>
      </w:pPr>
      <w:r>
        <w:t>Bilaal Dar [3]</w:t>
      </w:r>
    </w:p>
    <w:p>
      <w:pPr>
        <w:pStyle w:val="ListBullet"/>
      </w:pPr>
      <w:r>
        <w:t>Laiba Khan [1]</w:t>
      </w:r>
    </w:p>
    <w:p>
      <w:pPr>
        <w:pStyle w:val="ListBullet"/>
      </w:pPr>
      <w:r>
        <w:t>Andrew Woo [4]</w:t>
      </w:r>
    </w:p>
    <w:p>
      <w:pPr>
        <w:pStyle w:val="ListBullet"/>
      </w:pPr>
      <w:r>
        <w:t>Corresponding author: Andrew Woo (andy2709w@gmail.com)</w:t>
      </w:r>
    </w:p>
    <w:p>
      <w:pPr>
        <w:pStyle w:val="Heading2"/>
      </w:pPr>
      <w:r>
        <w:t>Affiliations</w:t>
      </w:r>
    </w:p>
    <w:p>
      <w:r>
        <w:t>1. Royal Free Hospital</w:t>
      </w:r>
    </w:p>
    <w:p>
      <w:r>
        <w:t>2. Tahir Heart Institute Rabwah</w:t>
      </w:r>
    </w:p>
    <w:p>
      <w:r>
        <w:t>3. King's College Medical School</w:t>
      </w:r>
    </w:p>
    <w:p>
      <w:r>
        <w:t>4. St George's Medical School</w:t>
      </w:r>
    </w:p>
    <w:p>
      <w:pPr>
        <w:pStyle w:val="Heading2"/>
      </w:pPr>
      <w:r>
        <w:t>Abstract</w:t>
      </w:r>
    </w:p>
    <w:p>
      <w:r>
        <w:rPr>
          <w:b/>
        </w:rPr>
        <w:t>Background:</w:t>
      </w:r>
      <w:r>
        <w:t xml:space="preserve"> Diagnostic test accuracy reviews require coherent handling of sensitivity, specificity, model assumptions, and visual interpretation. DTA Meta-Analysis Pro v4.9.2 was built to provide an integrated browser workflow for these needs.</w:t>
      </w:r>
    </w:p>
    <w:p>
      <w:r>
        <w:rPr>
          <w:b/>
        </w:rPr>
        <w:t>Methods:</w:t>
      </w:r>
      <w:r>
        <w:t xml:space="preserve"> The tool is implemented as a client-side HTML and JavaScript application with numerical and plotting dependencies loaded in the entry page. Core modules include data entry, model settings, SROC generation, forest plots, publication-bias assessment, sensitivity analyses, meta-regression, and report export. A Playwright browser workflow was used on 2026-03-01 to capture representative full-page interface states from the local runnable build.</w:t>
      </w:r>
    </w:p>
    <w:p>
      <w:r>
        <w:rPr>
          <w:b/>
        </w:rPr>
        <w:t>Results:</w:t>
      </w:r>
      <w:r>
        <w:t xml:space="preserve"> The software completed end-to-end browser workflows for data input, model execution, visual analytics, and export within the domain-specific interface.</w:t>
      </w:r>
    </w:p>
    <w:p>
      <w:r>
        <w:rPr>
          <w:b/>
        </w:rPr>
        <w:t>Conclusions:</w:t>
      </w:r>
      <w:r>
        <w:t xml:space="preserve"> DTA Meta-Analysis Pro v4.9.2 provides a practical browser-native workflow for evidence synthesis; final submission readiness depends on attaching a public repository link and DOI-archived release metadata.</w:t>
      </w:r>
    </w:p>
    <w:p>
      <w:pPr>
        <w:pStyle w:val="Heading2"/>
      </w:pPr>
      <w:r>
        <w:t>Keywords</w:t>
      </w:r>
    </w:p>
    <w:p>
      <w:r>
        <w:t>diagnostic test accuracy; SROC; forest plot; meta-regression; web application</w:t>
      </w:r>
    </w:p>
    <w:p>
      <w:pPr>
        <w:pStyle w:val="Heading2"/>
      </w:pPr>
      <w:r>
        <w:t>Visual Abstract</w:t>
      </w:r>
    </w:p>
    <w:p>
      <w:pPr>
        <w:pStyle w:val="Heading3"/>
      </w:pPr>
      <w:r>
        <w:t>Workflow overview</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Panel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Key message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the software does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Reviewer-check evidence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Clinical problem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Evidence-synthesis workflows are often fragmented and hard to audit.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Consolidates data input, model execution, diagnostics, and exports in one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Manuscript Methods + reproducibility checklist.</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Inputs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Reproducibility depends on explicit data/schema and parameter states.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Uses user-provided or demo datasets with configurable model and sensitivity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Use-case walkthrough + saved run configuration.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Analysis core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Credible conclusions require transparent estimation and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Runs primary model(s), heterogeneity handling, and sensitivity modules with exportable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Results/diagnostic tables + validation artifact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Output and interpretation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Outputs must be interpretable, bounded, and independently checkable.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Produces pooled estimates, plots, diagnostics, and reporting exports for independent review.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Validation evidence table + checklist-linked artifacts.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Claim boundary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Software articles should avoid unsupported superiority claims.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States limitations, scope, and pending metadata requirements explicitly.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Discussion limitations + submission blockers checklist.</w:t>
            </w:r>
          </w:p>
        </w:tc>
      </w:tr>
    </w:tbl>
    <w:p/>
    <w:p>
      <w:pPr>
        <w:pStyle w:val="Heading2"/>
      </w:pPr>
      <w:r>
        <w:t>Introduction</w:t>
      </w:r>
    </w:p>
    <w:p>
      <w:r>
        <w:t>Diagnostic test accuracy synthesis requires consistent handling of 2x2 data, hierarchical modeling choices, and interpretation outputs that reviewers can audit quickly. Many workflows remain split across scripts and manual reporting steps.</w:t>
      </w:r>
    </w:p>
    <w:p>
      <w:r>
        <w:t>DTA Meta-Analysis Pro unifies these operations in a single browser tool for routine DTA analyses and sensitivity checks. This manuscript emphasizes reproducible operation and explicit comparator-based validation rather than claiming universal superiority over established statistical software.</w:t>
      </w:r>
    </w:p>
    <w:p>
      <w:pPr>
        <w:pStyle w:val="Heading3"/>
      </w:pPr>
      <w:r>
        <w:t>Positioning against existing tools</w:t>
      </w:r>
    </w:p>
    <w:p>
      <w:r>
        <w:t>This package is positioned relative to established options including CRSU/MetaInsight web tools, Comprehensive Meta-Analysis (CMA), Stata-based workflows, and package-driven R pipelines. The intended contribution here is workflow transparency, reproducibility scaffolding, and explicit claim boundaries, not blanket superiority over existing platforms.</w:t>
      </w:r>
    </w:p>
    <w:p>
      <w:pPr>
        <w:pStyle w:val="Heading3"/>
      </w:pPr>
      <w:r>
        <w:t>Table 1. Positioning matrix</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Dimension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This package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Established alternatives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Claim boundary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goal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Transparent, reproducible end-to-end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Mature GUIs/statistical packages with broad legacy adoption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Scope limited to demonstrated workflows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User profile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Clinicians/researchers needing guided reproducibility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Advanced analysts and mixed-skill teams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Complementary use is recommended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Strength emphasis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Auditability, artifact linkage, structured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Feature breadth and ecosystem maturity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Interpret strengths relative to use case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Reproducibility support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Walkthrough + validation summary + checklist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Varies by tool/package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Claims remain artifact-bounded</w:t>
            </w:r>
          </w:p>
        </w:tc>
      </w:tr>
    </w:tbl>
    <w:p/>
    <w:p>
      <w:pPr>
        <w:pStyle w:val="Heading2"/>
      </w:pPr>
      <w:r>
        <w:t>Methods</w:t>
      </w:r>
    </w:p>
    <w:p>
      <w:pPr>
        <w:pStyle w:val="Heading3"/>
      </w:pPr>
      <w:r>
        <w:t>Implementation</w:t>
      </w:r>
    </w:p>
    <w:p>
      <w:r>
        <w:t>The software is implemented as a client-side HTML/JavaScript system with integrated numerical routines and plotting modules. Data-entry components, model controls, and visualization panels are coordinated through a single-page event flow so that changes in assumptions are reflected immediately in tables and figures.</w:t>
      </w:r>
    </w:p>
    <w:p>
      <w:pPr>
        <w:pStyle w:val="Heading3"/>
      </w:pPr>
      <w:r>
        <w:t>Installation and local execution requirements</w:t>
      </w:r>
    </w:p>
    <w:p>
      <w:pPr>
        <w:pStyle w:val="ListBullet"/>
      </w:pPr>
      <w:r>
        <w:t xml:space="preserve">Confirm required runtime dependencies listed in </w:t>
      </w:r>
      <w:r>
        <w:t>README.md</w:t>
      </w:r>
      <w:r>
        <w:t xml:space="preserve"> and project environment files.</w:t>
      </w:r>
    </w:p>
    <w:p>
      <w:pPr>
        <w:pStyle w:val="ListBullet"/>
      </w:pPr>
      <w:r>
        <w:t>Use a clean environment for first-run verification to avoid hidden local-state effects.</w:t>
      </w:r>
    </w:p>
    <w:p>
      <w:pPr>
        <w:pStyle w:val="ListBullet"/>
      </w:pPr>
      <w:r>
        <w:t>Run the documented primary entry point and capture logs/screenshots for reproducibility notes.</w:t>
      </w:r>
    </w:p>
    <w:p>
      <w:pPr>
        <w:pStyle w:val="ListBullet"/>
      </w:pPr>
      <w:r>
        <w:t>If package-specific dependencies are unavailable, record the exact version mismatch and fallback behavior.</w:t>
      </w:r>
    </w:p>
    <w:p>
      <w:pPr>
        <w:pStyle w:val="Heading3"/>
      </w:pPr>
      <w:r>
        <w:t>Operation</w:t>
      </w:r>
    </w:p>
    <w:p>
      <w:pPr>
        <w:pStyle w:val="ListBullet"/>
      </w:pPr>
      <w:r>
        <w:t xml:space="preserve">Open </w:t>
      </w:r>
      <w:r>
        <w:t>dta-pro-v3.7.html</w:t>
      </w:r>
      <w:r>
        <w:t xml:space="preserve"> in a JavaScript-enabled browser and initialize a new analysis session.</w:t>
      </w:r>
    </w:p>
    <w:p>
      <w:pPr>
        <w:pStyle w:val="ListBullet"/>
      </w:pPr>
      <w:r>
        <w:t>Load the demonstration 2x2 diagnostic dataset (or manually enter TP/FP/FN/TN rows) and validate completeness.</w:t>
      </w:r>
    </w:p>
    <w:p>
      <w:pPr>
        <w:pStyle w:val="ListBullet"/>
      </w:pPr>
      <w:r>
        <w:t>Select analysis options for model behavior and uncertainty handling, then run synthesis.</w:t>
      </w:r>
    </w:p>
    <w:p>
      <w:pPr>
        <w:pStyle w:val="ListBullet"/>
      </w:pPr>
      <w:r>
        <w:t>Review SROC, forest, and sensitivity outputs and export the manuscript/report package.</w:t>
      </w:r>
    </w:p>
    <w:p>
      <w:pPr>
        <w:pStyle w:val="Heading3"/>
      </w:pPr>
      <w:r>
        <w:t>Table 2. Minimum input schema and validation checks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Input field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Required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rule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Failure risk if missing/invalid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Study identifier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Unique per row/group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Mislabelled outputs, merge errors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Effect/endpoint variables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Numeric + interpretable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Invalid model estimation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Uncertainty/count fields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Non-negative and non-null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Biased weighting or unstable inference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Model-setting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Explicitly recorded at run time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Non-reproducible reruns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Source file provenance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Recommended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Track input path and version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Ambiguous audit trail</w:t>
            </w:r>
          </w:p>
        </w:tc>
      </w:tr>
    </w:tbl>
    <w:p/>
    <w:p>
      <w:pPr>
        <w:pStyle w:val="Heading3"/>
      </w:pPr>
      <w:r>
        <w:t>Core equations</w:t>
      </w:r>
    </w:p>
    <w:p>
      <w:r>
        <w:t>Key equations used in this manuscript are summarized in Table EQ1.</w:t>
      </w:r>
    </w:p>
    <w:p>
      <w:pPr>
        <w:pStyle w:val="Heading3"/>
      </w:pPr>
      <w:r>
        <w:t>Equation summary table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Eq. ID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Model 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Expression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Interpretation role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E1</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Diagnostic accuracy definitions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\mathrm{Sensitivity}_i = \frac{TP_i}{TP_i + FN_i}, \quad \mathrm{Specificity}_i = \frac{TN_i}{TN_i + FP_i}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Defines study-level sensitivity and specificity from 2x2 contingency table counts.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Logit link transformation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\mathrm{logit}(p) = \ln\left(\frac{p}{1-p}\right)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Maps probabilities to the real line for regression-based estimation and interval construction.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E3</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Random-effects pooled estimator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\hat{\theta} = \frac{\sum_i w_i \theta_i}{\sum_i w_i}, \quad w_i = \frac{1}{v_i + \tau^2}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Computes the pooled effect as a precision-weighted average under heterogeneity.</w:t>
            </w:r>
          </w:p>
        </w:tc>
      </w:tr>
    </w:tbl>
    <w:p/>
    <w:p>
      <w:pPr>
        <w:pStyle w:val="Heading3"/>
      </w:pPr>
      <w:r>
        <w:t>Reproducibility and validation</w:t>
      </w:r>
    </w:p>
    <w:p>
      <w:r>
        <w:t>All analytic states are controlled through explicit user-configurable parameters and exportable outputs. In this manuscript, demonstration workflows were repeated under fixed settings to confirm stable behavior across reruns, and figure generation was standardized to full-page captures for consistent interpretation.</w:t>
      </w:r>
    </w:p>
    <w:p>
      <w:pPr>
        <w:pStyle w:val="Heading4"/>
      </w:pPr>
      <w:r>
        <w:t>R validation evidence table</w:t>
      </w:r>
    </w:p>
    <w:tbl>
      <w:tblPr>
        <w:tblStyle w:val="TableGrid"/>
        <w:tblW w:type="auto" w:w="0"/>
        <w:tblLayout w:type="autofit"/>
        <w:tblLook w:firstColumn="1" w:firstRow="1" w:lastColumn="0" w:lastRow="0" w:noHBand="0" w:noVBand="1" w:val="04A0"/>
      </w:tblPr>
      <w:tblGrid>
        <w:gridCol w:w="2880"/>
        <w:gridCol w:w="2880"/>
        <w:gridCol w:w="2880"/>
      </w:tblGrid>
      <w:tr>
        <w:trPr>
          <w:tblHeader w:val="true"/>
        </w:trP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dimension</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Evidence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Artifact source</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Comparator environment</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 mada Package v0.5.12</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S2_Complete_Validation_Results.md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scope</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Primary DTA comparison includes pooled estimates, CI bounds, variance components, derived metrics, edge cases, and HSROC checks.</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S2_Complete_Validation_Results.md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Pass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27/27 PASS (100%)</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S2_Complete_Validation_Results.md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Expanded totals</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45/45 passed (100%).</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S2_Complete_Validation_Results.md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Tolerance criteria</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Â±0.005 (probability scale), Â±0.01 (variance components)</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S2_Complete_Validation_Results.md</w:t>
            </w:r>
          </w:p>
        </w:tc>
      </w:tr>
    </w:tbl>
    <w:p/>
    <w:p>
      <w:pPr>
        <w:pStyle w:val="Heading3"/>
      </w:pPr>
      <w:r>
        <w:t>Core functionality exposed in the interface</w:t>
      </w:r>
    </w:p>
    <w:p>
      <w:pPr>
        <w:pStyle w:val="ListBullet"/>
      </w:pPr>
      <w:r>
        <w:t>Interactive data ingestion and validation controls</w:t>
      </w:r>
    </w:p>
    <w:p>
      <w:pPr>
        <w:pStyle w:val="ListBullet"/>
      </w:pPr>
      <w:r>
        <w:t>Configurable analysis models with sensitivity options</w:t>
      </w:r>
    </w:p>
    <w:p>
      <w:pPr>
        <w:pStyle w:val="ListBullet"/>
      </w:pPr>
      <w:r>
        <w:t>Integrated visualization panels for interpretive review</w:t>
      </w:r>
    </w:p>
    <w:p>
      <w:pPr>
        <w:pStyle w:val="ListBullet"/>
      </w:pPr>
      <w:r>
        <w:t>Export pathways for reporting and reproducibility artifacts</w:t>
      </w:r>
    </w:p>
    <w:p>
      <w:pPr>
        <w:pStyle w:val="Heading3"/>
      </w:pPr>
      <w:r>
        <w:t>Reviewer-informed reproducibility safeguards</w:t>
      </w:r>
    </w:p>
    <w:p>
      <w:pPr>
        <w:pStyle w:val="ListBullet"/>
      </w:pPr>
      <w:r>
        <w:t>The manuscript includes a concrete runnable workflow from data import to export, avoiding outline-only reporting.</w:t>
      </w:r>
    </w:p>
    <w:p>
      <w:pPr>
        <w:pStyle w:val="ListBullet"/>
      </w:pPr>
      <w:r>
        <w:t>Example/demo datasets are used for reviewer walkthroughs so outputs can be replicated without author-specific data access.</w:t>
      </w:r>
    </w:p>
    <w:p>
      <w:pPr>
        <w:pStyle w:val="ListBullet"/>
      </w:pPr>
      <w:r>
        <w:t>Validation artifacts are declared in a structured table with explicit source paths, reducing unverifiable performance claims.</w:t>
      </w:r>
    </w:p>
    <w:p>
      <w:pPr>
        <w:pStyle w:val="ListBullet"/>
      </w:pPr>
      <w:r>
        <w:t>Claims are bounded to tested scenarios and should be interpreted with the documented tolerance and caveat context.</w:t>
      </w:r>
    </w:p>
    <w:p>
      <w:pPr>
        <w:pStyle w:val="Heading3"/>
      </w:pPr>
      <w:r>
        <w:t>Output interpretation guidance</w:t>
      </w:r>
    </w:p>
    <w:p>
      <w:r>
        <w:t>Interpret outputs jointly across effect estimates, uncertainty intervals, heterogeneity diagnostics, and sensitivity results. For small study counts, rare-event settings, or model-mismatch scenarios, treat asymmetry tests and pooled estimates cautiously. When assumptions are only approximately met (e.g., large-sample approximations), results should be reported with explicit caveats.</w:t>
      </w:r>
    </w:p>
    <w:p>
      <w:pPr>
        <w:pStyle w:val="Heading3"/>
      </w:pPr>
      <w:r>
        <w:t>Table 4. Output-to-decision interpretation guide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Output type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tells you</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does not guarantee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Reporting recommendation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pooled/model estimate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Central tendency under stated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Universal validity across all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with assumptions and uncertainty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metrics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Between-study variability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Definitive cause of heterogeneity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Pair with subgroup/sensitivity rationale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Bias/asymmetry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Potential small-study/publication-bias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Definitive proof of bias mechanism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small-k limitations explicitly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analyses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Robustness under alternate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Immunity to all model misspecification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 scenario-wise evidence table</w:t>
            </w:r>
          </w:p>
        </w:tc>
      </w:tr>
    </w:tbl>
    <w:p/>
    <w:p>
      <w:pPr>
        <w:pStyle w:val="Heading2"/>
      </w:pPr>
      <w:r>
        <w:t>Use cases</w:t>
      </w:r>
    </w:p>
    <w:p>
      <w:pPr>
        <w:pStyle w:val="Heading3"/>
      </w:pPr>
      <w:r>
        <w:t>Demonstration dataset used for manuscript walkthrough</w:t>
      </w:r>
    </w:p>
    <w:p>
      <w:pPr>
        <w:pStyle w:val="ListBullet"/>
      </w:pPr>
      <w:r>
        <w:t>Dataset profile: Built-in or template diagnostic test datasets (2x2 tables with TP/FP/FN/TN values)</w:t>
      </w:r>
    </w:p>
    <w:p>
      <w:pPr>
        <w:pStyle w:val="ListBullet"/>
      </w:pPr>
      <w:r>
        <w:t>Rationale: a fixed demo dataset enables reproducible method demonstration and easier reviewer verification.</w:t>
      </w:r>
    </w:p>
    <w:p>
      <w:pPr>
        <w:pStyle w:val="Heading3"/>
      </w:pPr>
      <w:r>
        <w:t>Use case 1: Demo diagnostic accuracy synthesis</w:t>
      </w:r>
    </w:p>
    <w:p>
      <w:r>
        <w:t>Workflow:</w:t>
      </w:r>
    </w:p>
    <w:p>
      <w:pPr>
        <w:pStyle w:val="ListBullet"/>
      </w:pPr>
      <w:r>
        <w:t>Load a demo diagnostic dataset and verify 2x2 completeness.</w:t>
      </w:r>
    </w:p>
    <w:p>
      <w:pPr>
        <w:pStyle w:val="ListBullet"/>
      </w:pPr>
      <w:r>
        <w:t>Execute the main analysis to generate SROC and forest plots.</w:t>
      </w:r>
    </w:p>
    <w:p>
      <w:pPr>
        <w:pStyle w:val="ListBullet"/>
      </w:pPr>
      <w:r>
        <w:t>Review pooled sensitivity/specificity summaries and confidence intervals.</w:t>
      </w:r>
    </w:p>
    <w:p>
      <w:pPr>
        <w:pStyle w:val="ListBullet"/>
      </w:pPr>
      <w:r>
        <w:t>Export the report package for manuscript assembly.</w:t>
      </w:r>
    </w:p>
    <w:p>
      <w:r>
        <w:t>Expected outputs for the manuscript:</w:t>
      </w:r>
    </w:p>
    <w:p>
      <w:pPr>
        <w:pStyle w:val="ListBullet"/>
      </w:pPr>
      <w:r>
        <w:t>SROC visualization and study-level forest displays</w:t>
      </w:r>
    </w:p>
    <w:p>
      <w:pPr>
        <w:pStyle w:val="ListBullet"/>
      </w:pPr>
      <w:r>
        <w:t>Structured summary outputs for reporting tables</w:t>
      </w:r>
    </w:p>
    <w:p>
      <w:pPr>
        <w:pStyle w:val="Heading3"/>
      </w:pPr>
      <w:r>
        <w:t>Use case 2: Model-option comparison</w:t>
      </w:r>
    </w:p>
    <w:p>
      <w:r>
        <w:t>Workflow:</w:t>
      </w:r>
    </w:p>
    <w:p>
      <w:pPr>
        <w:pStyle w:val="ListBullet"/>
      </w:pPr>
      <w:r>
        <w:t>Repeat the run with alternative model and correction settings.</w:t>
      </w:r>
    </w:p>
    <w:p>
      <w:pPr>
        <w:pStyle w:val="ListBullet"/>
      </w:pPr>
      <w:r>
        <w:t>Inspect changes in pooled estimates and heterogeneity indicators.</w:t>
      </w:r>
    </w:p>
    <w:p>
      <w:pPr>
        <w:pStyle w:val="ListBullet"/>
      </w:pPr>
      <w:r>
        <w:t>Capture preferred settings in the validation report.</w:t>
      </w:r>
    </w:p>
    <w:p>
      <w:r>
        <w:t>Expected outputs for the manuscript:</w:t>
      </w:r>
    </w:p>
    <w:p>
      <w:pPr>
        <w:pStyle w:val="ListBullet"/>
      </w:pPr>
      <w:r>
        <w:t>Defensible model-choice rationale</w:t>
      </w:r>
    </w:p>
    <w:p>
      <w:pPr>
        <w:pStyle w:val="ListBullet"/>
      </w:pPr>
      <w:r>
        <w:t>Audit trail for reviewer queries</w:t>
      </w:r>
    </w:p>
    <w:p>
      <w:pPr>
        <w:pStyle w:val="Heading3"/>
      </w:pPr>
      <w:r>
        <w:t>Screenshot interpretation</w:t>
      </w:r>
    </w:p>
    <w:p>
      <w:pPr>
        <w:pStyle w:val="ListBullet"/>
      </w:pPr>
      <w:r>
        <w:t>Figure 1 documents the active analysis interface and confirms operational execution in a browser environment.</w:t>
      </w:r>
    </w:p>
    <w:p>
      <w:pPr>
        <w:pStyle w:val="ListBullet"/>
      </w:pPr>
      <w:r>
        <w:t>During submission, this figure should be paired with a short caption that names the demo dataset and run configuration.</w:t>
      </w:r>
    </w:p>
    <w:p>
      <w:pPr>
        <w:pStyle w:val="Heading3"/>
      </w:pPr>
      <w:r>
        <w:t>Reviewer-facing walkthrough (replicable package check)</w:t>
      </w:r>
    </w:p>
    <w:p>
      <w:r>
        <w:t xml:space="preserve">1. Open the primary application file in </w:t>
      </w:r>
      <w:r>
        <w:t>DTA_Pro_Review</w:t>
      </w:r>
      <w:r>
        <w:t xml:space="preserve"> and load an included demo/example dataset.</w:t>
      </w:r>
    </w:p>
    <w:p>
      <w:r>
        <w:t>2. Run the default primary analysis and record the main pooled/model outputs.</w:t>
      </w:r>
    </w:p>
    <w:p>
      <w:r>
        <w:t>3. Trigger at least one sensitivity or subgroup option and compare directional stability.</w:t>
      </w:r>
    </w:p>
    <w:p>
      <w:r>
        <w:t>4. Export results and confirm that exported artifacts match on-screen summaries.</w:t>
      </w:r>
    </w:p>
    <w:p>
      <w:r>
        <w:t>5. Cross-check the run against the validation evidence paths listed in the manuscript.</w:t>
      </w:r>
    </w:p>
    <w:p>
      <w:pPr>
        <w:pStyle w:val="Heading3"/>
      </w:pPr>
      <w:r>
        <w:t>User tutorial and onboarding</w:t>
      </w:r>
    </w:p>
    <w:p>
      <w:pPr>
        <w:pStyle w:val="ListBullet"/>
      </w:pPr>
      <w:r>
        <w:t>Use the demonstration dataset path described in the Use Cases section for a first complete run.</w:t>
      </w:r>
    </w:p>
    <w:p>
      <w:pPr>
        <w:pStyle w:val="ListBullet"/>
      </w:pPr>
      <w:r>
        <w:t>Verify that exported outputs are internally consistent with on-screen results.</w:t>
      </w:r>
    </w:p>
    <w:p>
      <w:pPr>
        <w:pStyle w:val="ListBullet"/>
      </w:pPr>
      <w:r>
        <w:t>Use the validation evidence table and artifact paths to cross-check claims before interpretation.</w:t>
      </w:r>
    </w:p>
    <w:p>
      <w:pPr>
        <w:pStyle w:val="ListBullet"/>
      </w:pPr>
      <w:r>
        <w:t>Treat advanced settings cautiously and report any warnings, convergence notes, or caveats in outputs.</w:t>
      </w:r>
    </w:p>
    <w:p>
      <w:pPr>
        <w:pStyle w:val="Heading3"/>
      </w:pPr>
      <w:r>
        <w:t>Table 5. Assumptions, diagnostics, and caution flags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Assumption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Recommended diagnostic</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Caution flag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Effect model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Chosen form reflects study design and outcome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Residual pattern + sensitivity reruns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 directional shifts across settings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handling</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assumptions are plausible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Tau/I2/Q-related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Small-k instability or extreme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Approximation regime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Large-sample approximations adequate for data context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Rare-event and small-k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Sparse events / unstable variance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module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Alternative settings should not reverse core interpretation without explanation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Structured scenario comparison table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Inference changes without transparent rationale</w:t>
            </w:r>
          </w:p>
        </w:tc>
      </w:tr>
    </w:tbl>
    <w:p/>
    <w:p>
      <w:pPr>
        <w:pStyle w:val="Heading2"/>
      </w:pPr>
      <w:r>
        <w:t>Discussion</w:t>
      </w:r>
    </w:p>
    <w:p>
      <w:r>
        <w:t>A practical advantage is that data entry, model execution, and interpretation outputs are tightly linked, reducing avoidable transfer errors during protocol iteration. The validation section and table provide direct context for agreement against R-based references in the tested scenarios.</w:t>
      </w:r>
    </w:p>
    <w:p>
      <w:r>
        <w:t>Limitations include dependence on the validated scenario set and the need for continued method governance as features evolve. Publication claims should therefore remain bounded to demonstrated analyses, stated tolerances, and available artifact evidence.</w:t>
      </w:r>
    </w:p>
    <w:p>
      <w:pPr>
        <w:pStyle w:val="Heading3"/>
      </w:pPr>
      <w:r>
        <w:t>Limitations and claim boundaries (review-informed)</w:t>
      </w:r>
    </w:p>
    <w:p>
      <w:pPr>
        <w:pStyle w:val="ListBullet"/>
      </w:pPr>
      <w:r>
        <w:t>The software is not presented as a universal replacement for all evidence-synthesis platforms.</w:t>
      </w:r>
    </w:p>
    <w:p>
      <w:pPr>
        <w:pStyle w:val="ListBullet"/>
      </w:pPr>
      <w:r>
        <w:t>Utility claims are limited to demonstrated workflows and validated scenarios reported in this package.</w:t>
      </w:r>
    </w:p>
    <w:p>
      <w:pPr>
        <w:pStyle w:val="ListBullet"/>
      </w:pPr>
      <w:r>
        <w:t>Interpretation quality still depends on user method expertise, data quality, and appropriate model selection.</w:t>
      </w:r>
    </w:p>
    <w:p>
      <w:pPr>
        <w:pStyle w:val="ListBullet"/>
      </w:pPr>
      <w:r>
        <w:t>Public repository and DOI archival remain mandatory final-submission requirements for independent long-term reproducibility.</w:t>
      </w:r>
    </w:p>
    <w:p>
      <w:pPr>
        <w:pStyle w:val="Heading2"/>
      </w:pPr>
      <w:r>
        <w:t>Conclusions</w:t>
      </w:r>
    </w:p>
    <w:p>
      <w:r>
        <w:t>DTA Meta-Analysis Pro offers an integrated DTA workflow with transparent validation reporting and reproducible exports. It is suitable for software-method dissemination when final repository and DOI metadata are completed.</w:t>
      </w:r>
    </w:p>
    <w:p>
      <w:pPr>
        <w:pStyle w:val="Heading2"/>
      </w:pPr>
      <w:r>
        <w:t>Workflow Figure Blueprint</w:t>
      </w:r>
    </w:p>
    <w:p>
      <w:pPr>
        <w:pStyle w:val="Heading3"/>
      </w:pPr>
      <w:r>
        <w:t>Figure FA1. End-to-end analytical flowchart</w:t>
      </w:r>
    </w:p>
    <w:p>
      <w:r>
        <w:t>Recommended node sequence:</w:t>
      </w:r>
    </w:p>
    <w:p>
      <w:r>
        <w:t>1. Data input and schema checks</w:t>
      </w:r>
    </w:p>
    <w:p>
      <w:r>
        <w:t>2. Model setup and assumptions</w:t>
      </w:r>
    </w:p>
    <w:p>
      <w:r>
        <w:t>3. Primary estimation</w:t>
      </w:r>
    </w:p>
    <w:p>
      <w:r>
        <w:t>4. Diagnostics and heterogeneity review</w:t>
      </w:r>
    </w:p>
    <w:p>
      <w:r>
        <w:t>5. Sensitivity and robustness analysis</w:t>
      </w:r>
    </w:p>
    <w:p>
      <w:r>
        <w:t>6. Export, reporting, and reproducibility checks</w:t>
      </w:r>
    </w:p>
    <w:p>
      <w:r>
        <w:t>Design specifications:</w:t>
      </w:r>
    </w:p>
    <w:p>
      <w:pPr>
        <w:pStyle w:val="ListBullet"/>
      </w:pPr>
      <w:r>
        <w:t>Use clean vector geometry, no decorative backgrounds.</w:t>
      </w:r>
    </w:p>
    <w:p>
      <w:pPr>
        <w:pStyle w:val="ListBullet"/>
      </w:pPr>
      <w:r>
        <w:t>Keep labels short, method-focused, and assumption-aware.</w:t>
      </w:r>
    </w:p>
    <w:p>
      <w:pPr>
        <w:pStyle w:val="ListBullet"/>
      </w:pPr>
      <w:r>
        <w:t>Ensure grayscale legibility for print workflows.</w:t>
      </w:r>
    </w:p>
    <w:p>
      <w:pPr>
        <w:pStyle w:val="ListBullet"/>
      </w:pPr>
      <w:r>
        <w:t>Keep scientific claims in manuscript text/tables; flowchart is explanatory only.</w:t>
      </w:r>
    </w:p>
    <w:p>
      <w:r>
        <w:t>Proposed figure files:</w:t>
      </w:r>
    </w:p>
    <w:p>
      <w:pPr>
        <w:pStyle w:val="ListBullet"/>
      </w:pPr>
      <w:r>
        <w:t>figures/figure00_workflow_flowchart.png</w:t>
      </w:r>
      <w:r>
        <w:t xml:space="preserve"> (working draft)</w:t>
      </w:r>
    </w:p>
    <w:p>
      <w:pPr>
        <w:pStyle w:val="ListBullet"/>
      </w:pPr>
      <w:r>
        <w:t>figures/figure00_workflow_flowchart.tiff</w:t>
      </w:r>
      <w:r>
        <w:t xml:space="preserve"> (submission-ready raster)</w:t>
      </w:r>
    </w:p>
    <w:p>
      <w:pPr>
        <w:pStyle w:val="ListBullet"/>
      </w:pPr>
      <w:r>
        <w:t>figures/figure00_workflow_flowchart.eps</w:t>
      </w:r>
      <w:r>
        <w:t xml:space="preserve"> (submission-ready vector)</w:t>
      </w:r>
    </w:p>
    <w:p>
      <w:pPr>
        <w:pStyle w:val="Heading3"/>
      </w:pPr>
      <w:r>
        <w:t>Infographic-style quick panel</w:t>
      </w:r>
    </w:p>
    <w:p>
      <w:r>
        <w:t>If needed, add a one-panel “study at a glance” infographic summarizing:</w:t>
      </w:r>
    </w:p>
    <w:p>
      <w:pPr>
        <w:pStyle w:val="ListBullet"/>
      </w:pPr>
      <w:r>
        <w:t>Problem context</w:t>
      </w:r>
    </w:p>
    <w:p>
      <w:pPr>
        <w:pStyle w:val="ListBullet"/>
      </w:pPr>
      <w:r>
        <w:t>Workflow contribution</w:t>
      </w:r>
    </w:p>
    <w:p>
      <w:pPr>
        <w:pStyle w:val="ListBullet"/>
      </w:pPr>
      <w:r>
        <w:t>Validation evidence anchor</w:t>
      </w:r>
    </w:p>
    <w:p>
      <w:pPr>
        <w:pStyle w:val="ListBullet"/>
      </w:pPr>
      <w:r>
        <w:t>Claim boundary statement</w:t>
      </w:r>
    </w:p>
    <w:p>
      <w:pPr>
        <w:pStyle w:val="Heading2"/>
      </w:pPr>
      <w:r>
        <w:t>Figures and visual walkthrough</w:t>
      </w:r>
    </w:p>
    <w:p>
      <w:r>
        <w:t>Figure 1. Full-page interface overview.</w:t>
      </w:r>
    </w:p>
    <w:p>
      <w:r>
        <w:t>Figure 2. Full-page model/analysis workflow view.</w:t>
      </w:r>
    </w:p>
    <w:p>
      <w:r>
        <w:t>Figure 3. Full-page results view.</w:t>
      </w:r>
    </w:p>
    <w:p>
      <w:r>
        <w:t>Figure 4. Full-page bias/sensitivity or robustness view.</w:t>
      </w:r>
    </w:p>
    <w:p>
      <w:r>
        <w:t>Figure 5. Full-page reporting/export or advanced workflow view.</w:t>
      </w:r>
    </w:p>
    <w:p>
      <w:r>
        <w:t>Additional workflow and architecture visuals are presented in-document through the visual abstract and structured tables.</w:t>
      </w:r>
    </w:p>
    <w:p>
      <w:pPr>
        <w:pStyle w:val="Heading3"/>
      </w:pPr>
      <w:r>
        <w:t>Submission figure files (separate, 300 DPI; screenshots only)</w:t>
      </w:r>
    </w:p>
    <w:p>
      <w:r>
        <w:t>Only full-page screenshots (Figures 1-5) are submitted as separate figure files.</w:t>
      </w:r>
    </w:p>
    <w:p>
      <w:pPr>
        <w:pStyle w:val="ListBullet"/>
      </w:pPr>
      <w:r>
        <w:t>figures/figure01_overview_fullpage.tiff</w:t>
      </w:r>
      <w:r>
        <w:t xml:space="preserve"> and </w:t>
      </w:r>
      <w:r>
        <w:t>figures/figure01_overview_fullpage.eps</w:t>
      </w:r>
    </w:p>
    <w:p>
      <w:pPr>
        <w:pStyle w:val="ListBullet"/>
      </w:pPr>
      <w:r>
        <w:t>figures/figure02_model_fullpage.tiff</w:t>
      </w:r>
      <w:r>
        <w:t xml:space="preserve"> and </w:t>
      </w:r>
      <w:r>
        <w:t>figures/figure02_model_fullpage.eps</w:t>
      </w:r>
    </w:p>
    <w:p>
      <w:pPr>
        <w:pStyle w:val="ListBullet"/>
      </w:pPr>
      <w:r>
        <w:t>figures/figure03_results_fullpage.tiff</w:t>
      </w:r>
      <w:r>
        <w:t xml:space="preserve"> and </w:t>
      </w:r>
      <w:r>
        <w:t>figures/figure03_results_fullpage.eps</w:t>
      </w:r>
    </w:p>
    <w:p>
      <w:pPr>
        <w:pStyle w:val="ListBullet"/>
      </w:pPr>
      <w:r>
        <w:t>figures/figure04_bias_fullpage.tiff</w:t>
      </w:r>
      <w:r>
        <w:t xml:space="preserve"> and </w:t>
      </w:r>
      <w:r>
        <w:t>figures/figure04_bias_fullpage.eps</w:t>
      </w:r>
    </w:p>
    <w:p>
      <w:pPr>
        <w:pStyle w:val="ListBullet"/>
      </w:pPr>
      <w:r>
        <w:t>figures/figure05_report_fullpage.tiff</w:t>
      </w:r>
      <w:r>
        <w:t xml:space="preserve"> and </w:t>
      </w:r>
      <w:r>
        <w:t>figures/figure05_report_fullpage.eps</w:t>
      </w:r>
    </w:p>
    <w:p>
      <w:pPr>
        <w:pStyle w:val="Heading3"/>
      </w:pPr>
      <w:r>
        <w:t>Table 3. Reproducibility and submission readiness map</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Item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Local artifact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Current status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Action before external submission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Example walkthrough dataset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R_validation\benchmark_comparison_report.json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Verify rerun on clean machine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summary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f1000_artifacts/validation_summary.md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Confirm numbers and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User walkthrough</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f1000_artifacts/tutorial_walkthrough.md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Align screenshots/captions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Repository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[TO_BE_ADDED_GITHUB_OR_GITLAB_URL]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Replace after final tagging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DOI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[TO_BE_ADDED_ZENODO_DOI]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Replace after Zenodo archive creation</w:t>
            </w:r>
          </w:p>
        </w:tc>
      </w:tr>
    </w:tbl>
    <w:p/>
    <w:p>
      <w:pPr>
        <w:pStyle w:val="Heading2"/>
      </w:pPr>
      <w:r>
        <w:t>Software availability</w:t>
      </w:r>
    </w:p>
    <w:p>
      <w:pPr>
        <w:pStyle w:val="ListBullet"/>
      </w:pPr>
      <w:r>
        <w:t xml:space="preserve">Local source package: </w:t>
      </w:r>
      <w:r>
        <w:t>DTA_Pro_Review</w:t>
      </w:r>
      <w:r>
        <w:t xml:space="preserve"> under </w:t>
      </w:r>
      <w:r>
        <w:t>C:\HTML apps</w:t>
      </w:r>
      <w:r>
        <w:t>.</w:t>
      </w:r>
    </w:p>
    <w:p>
      <w:pPr>
        <w:pStyle w:val="ListBullet"/>
      </w:pPr>
      <w:r>
        <w:t xml:space="preserve">Public repository (placeholder): </w:t>
      </w:r>
      <w:r>
        <w:t>[TO_BE_ADDED_GITHUB_OR_GITLAB_URL]</w:t>
      </w:r>
    </w:p>
    <w:p>
      <w:pPr>
        <w:pStyle w:val="ListBullet"/>
      </w:pPr>
      <w:r>
        <w:t xml:space="preserve">Zenodo DOI (placeholder): </w:t>
      </w:r>
      <w:r>
        <w:t>[TO_BE_ADDED_ZENODO_DOI]</w:t>
      </w:r>
    </w:p>
    <w:p>
      <w:pPr>
        <w:pStyle w:val="ListBullet"/>
      </w:pPr>
      <w:r>
        <w:t>Version: see manuscript title and application UI version label.</w:t>
      </w:r>
    </w:p>
    <w:p>
      <w:pPr>
        <w:pStyle w:val="ListBullet"/>
      </w:pPr>
      <w:r>
        <w:t xml:space="preserve">Reproducibility walkthrough: </w:t>
      </w:r>
      <w:r>
        <w:t>f1000_artifacts/tutorial_walkthrough.md</w:t>
      </w:r>
    </w:p>
    <w:p>
      <w:pPr>
        <w:pStyle w:val="ListBullet"/>
      </w:pPr>
      <w:r>
        <w:t xml:space="preserve">Validation summary: </w:t>
      </w:r>
      <w:r>
        <w:t>f1000_artifacts/validation_summary.md</w:t>
      </w:r>
    </w:p>
    <w:p>
      <w:pPr>
        <w:pStyle w:val="ListBullet"/>
      </w:pPr>
      <w:r>
        <w:t xml:space="preserve">License: see package </w:t>
      </w:r>
      <w:r>
        <w:t>LICENSE</w:t>
      </w:r>
      <w:r>
        <w:t xml:space="preserve"> file.</w:t>
      </w:r>
    </w:p>
    <w:p>
      <w:pPr>
        <w:pStyle w:val="ListBullet"/>
      </w:pPr>
      <w:r>
        <w:t>Note: repository and DOI placeholders are intentionally retained until release archival is finalized.</w:t>
      </w:r>
    </w:p>
    <w:p>
      <w:pPr>
        <w:pStyle w:val="Heading2"/>
      </w:pPr>
      <w:r>
        <w:t>Data availability</w:t>
      </w:r>
    </w:p>
    <w:p>
      <w:r>
        <w:t xml:space="preserve">No new participant-level clinical data were generated for this software article package. Example dataset for reviewer walkthrough: </w:t>
      </w:r>
      <w:r>
        <w:t>R_validation\benchmark_comparison_report.json</w:t>
      </w:r>
      <w:r>
        <w:t>. Additional project data assets, where present, remain available within the local package tree.</w:t>
      </w:r>
    </w:p>
    <w:p>
      <w:pPr>
        <w:pStyle w:val="Heading2"/>
      </w:pPr>
      <w:r>
        <w:t>Reporting guidelines</w:t>
      </w:r>
    </w:p>
    <w:p>
      <w:r>
        <w:t xml:space="preserve">Real-peer-review-aligned checklist included: </w:t>
      </w:r>
      <w:r>
        <w:t>F1000_Submission_Checklist_RealReview.md</w:t>
      </w:r>
      <w:r>
        <w:t xml:space="preserve">. This checklist directly addresses the criticisms documented in </w:t>
      </w:r>
      <w:r>
        <w:t>C:\HTML apps\reviewer Report.txt</w:t>
      </w:r>
      <w:r>
        <w:t>.</w:t>
      </w:r>
    </w:p>
    <w:p>
      <w:pPr>
        <w:pStyle w:val="Heading2"/>
      </w:pPr>
      <w:r>
        <w:t>Declarations</w:t>
      </w:r>
    </w:p>
    <w:p>
      <w:pPr>
        <w:pStyle w:val="Heading3"/>
      </w:pPr>
      <w:r>
        <w:t>Competing interests</w:t>
      </w:r>
    </w:p>
    <w:p>
      <w:r>
        <w:t>The author declares that no competing interests were disclosed.</w:t>
      </w:r>
    </w:p>
    <w:p>
      <w:pPr>
        <w:pStyle w:val="Heading3"/>
      </w:pPr>
      <w:r>
        <w:t>Grant information</w:t>
      </w:r>
    </w:p>
    <w:p>
      <w:r>
        <w:t>No specific grant was declared for this manuscript draft.</w:t>
      </w:r>
    </w:p>
    <w:p>
      <w:pPr>
        <w:pStyle w:val="Heading3"/>
      </w:pPr>
      <w:r>
        <w:t>Author contributions (CRediT)</w:t>
      </w:r>
    </w:p>
    <w:tbl>
      <w:tblPr>
        <w:tblStyle w:val="TableGrid"/>
        <w:tblW w:type="auto" w:w="0"/>
        <w:tblLayout w:type="autofit"/>
        <w:tblLook w:firstColumn="1" w:firstRow="1" w:lastColumn="0" w:lastRow="0" w:noHBand="0" w:noVBand="1" w:val="04A0"/>
      </w:tblPr>
      <w:tblGrid>
        <w:gridCol w:w="4320"/>
        <w:gridCol w:w="4320"/>
      </w:tblGrid>
      <w:tr>
        <w:trPr>
          <w:tblHeader w:val="true"/>
        </w:trP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Author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CRediT roles</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Mahmood Ahmad</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 Software; Validation; Data curation; Writing - original draft; Writing - review and editing</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Niraj Kumar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Bilaal Dar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Laiba Khan</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Andrew Woo</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bl>
    <w:p/>
    <w:p>
      <w:pPr>
        <w:pStyle w:val="Heading3"/>
      </w:pPr>
      <w:r>
        <w:t>Acknowledgements</w:t>
      </w:r>
    </w:p>
    <w:p>
      <w:r>
        <w:t>The author acknowledges contributors to open statistical methods and browser-based scientific visualization ecosystems.</w:t>
      </w:r>
    </w:p>
    <w:p>
      <w:pPr>
        <w:pStyle w:val="Heading2"/>
      </w:pPr>
      <w:r>
        <w:t>References</w:t>
      </w:r>
    </w:p>
    <w:p>
      <w:r>
        <w:t>1. DerSimonian R, Laird N. Meta-analysis in clinical trials. Controlled Clinical Trials. 1986;7(3):177-188.</w:t>
      </w:r>
    </w:p>
    <w:p>
      <w:r>
        <w:t>2. Higgins JPT, Thompson SG. Quantifying heterogeneity in a meta-analysis. Statistics in Medicine. 2002;21(11):1539-1558.</w:t>
      </w:r>
    </w:p>
    <w:p>
      <w:r>
        <w:t>3. Page MJ, McKenzie JE, Bossuyt PM, et al. The PRISMA 2020 statement: an updated guideline for reporting systematic reviews. BMJ. 2021;372:n71.</w:t>
      </w:r>
    </w:p>
    <w:p>
      <w:r>
        <w:t>4. Guyatt GH, Oxman AD, Vist GE, et al. GRADE: an emerging consensus on rating quality of evidence and strength of recommendations. BMJ. 2008;336(7650):924-926.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595959"/>
        <w:sz w:val="17"/>
      </w:rPr>
      <w:t>F1000 Software Tool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mbria" w:hAnsi="Cambria"/>
      <w:b/>
      <w:bCs/>
      <w:color w:val="0F4C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F4C7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0F4C7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0F4C7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