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F4C75"/>
          <w:sz w:val="36"/>
        </w:rPr>
        <w:t>GWAM: a software tool for reproducible evidence-synthesis and modeling workflows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Reproducible evidence-synthesis model development often requires repeated fitting, heterogeneity checks, and structured reporting outputs. GWAM was prepared to support these workflows in a traceable software package.</w:t>
      </w:r>
    </w:p>
    <w:p>
      <w:r>
        <w:rPr>
          <w:b/>
        </w:rPr>
        <w:t>Methods:</w:t>
      </w:r>
      <w:r>
        <w:t xml:space="preserve"> The project is implemented using Python. The documented workflow covers data import, parameter selection, model execution, diagnostics, and export. The manuscript presents a reviewer-facing reproducibility path with explicit artifact pointers and bounded claims.</w:t>
      </w:r>
    </w:p>
    <w:p>
      <w:r>
        <w:rPr>
          <w:b/>
        </w:rPr>
        <w:t>Results:</w:t>
      </w:r>
      <w:r>
        <w:t xml:space="preserve"> The package supports end-to-end local workflows from input through model execution and exportable outputs, with validation evidence linked through project artifacts where available.</w:t>
      </w:r>
    </w:p>
    <w:p>
      <w:r>
        <w:rPr>
          <w:b/>
        </w:rPr>
        <w:t>Conclusions:</w:t>
      </w:r>
      <w:r>
        <w:t xml:space="preserve"> GWAM provides a practical workflow for transparent modeling and evidence synthesis; external submission readiness depends on final public repository metadata and DOI-archived release records.</w:t>
      </w:r>
    </w:p>
    <w:p>
      <w:pPr>
        <w:pStyle w:val="Heading2"/>
      </w:pPr>
      <w:r>
        <w:t>Keywords</w:t>
      </w:r>
    </w:p>
    <w:p>
      <w:r>
        <w:t>evidence synthesis; reproducibility; model validation; software tool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Complex modeling projects can become difficult to audit when data handling, estimation, diagnostics, and reporting are separated across multiple ad hoc steps. This manuscript documents a consolidated workflow with reproducibility-first structure.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package is organized for local execution with explicit analysis states and reproducible outputs. Components cover data handling, model settings, estimation routines, diagnostics, and export.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and run one primary project entry point (e.g., </w:t>
      </w:r>
      <w:r>
        <w:t>README.md</w:t>
      </w:r>
      <w:r>
        <w:t>).</w:t>
      </w:r>
    </w:p>
    <w:p>
      <w:pPr>
        <w:pStyle w:val="ListBullet"/>
      </w:pPr>
      <w:r>
        <w:t>Load demonstration or test data (example reference: `</w:t>
      </w:r>
      <w:r>
        <w:t>pairwise70_benchmark_sensitivity\ctgov_linkage_raw\CD014089_data.json</w:t>
      </w:r>
      <w:r>
        <w:t>`).</w:t>
      </w:r>
    </w:p>
    <w:p>
      <w:pPr>
        <w:pStyle w:val="ListBullet"/>
      </w:pPr>
      <w:r>
        <w:t>Configure default model and sensitivity settings, then execute analysis.</w:t>
      </w:r>
    </w:p>
    <w:p>
      <w:pPr>
        <w:pStyle w:val="ListBullet"/>
      </w:pPr>
      <w:r>
        <w:t>Review outputs and export artifacts for independent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General model 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y_i = g(x_i; \theta) + u_i + \varepsilon_i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core model structure with parameterized signal and noise terms.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u_i \sim \mathcal{N}(0,\tau^2),\; \varepsilon_i \sim \mathcal{N}(0,v_i)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Encodes heterogeneity and sampling variability assumptions.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Precision-weighted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 = \frac{\sum_i w_i \theta_i}{\sum_i w_i},\; w_i = \frac{1}{v_i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Summarizes pooled effects under random-effects weighting.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The package is reported with explicit artifact references so claims can be independently checked.</w:t>
      </w:r>
    </w:p>
    <w:p>
      <w:pPr>
        <w:pStyle w:val="Heading4"/>
      </w:pPr>
      <w:r>
        <w:t>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Local execution context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Project execution and output generation are documented for local reruns.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README.md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Validation, test, or benchmark artifacts were identified for package-level checking.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scripts\__pycache__\run_pairwise70_benchmark.cpython-313.pyc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Evidence policy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are bounded to artifact-supported local outputs; no unsupported superiority claims are made.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Release requirements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 repository URL and DOI archive are required before external submission.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</w:tbl>
    <w:p/>
    <w:p>
      <w:pPr>
        <w:pStyle w:val="Heading3"/>
      </w:pPr>
      <w:r>
        <w:t>Core functionality exposed in the package</w:t>
      </w:r>
    </w:p>
    <w:p>
      <w:pPr>
        <w:pStyle w:val="ListBullet"/>
      </w:pPr>
      <w:r>
        <w:t>Data ingestion and preprocessing hooks</w:t>
      </w:r>
    </w:p>
    <w:p>
      <w:pPr>
        <w:pStyle w:val="ListBullet"/>
      </w:pPr>
      <w:r>
        <w:t>Configurable modeling and sensitivity parameters</w:t>
      </w:r>
    </w:p>
    <w:p>
      <w:pPr>
        <w:pStyle w:val="ListBullet"/>
      </w:pPr>
      <w:r>
        <w:t>Diagnostic and interpretive output pathways</w:t>
      </w:r>
    </w:p>
    <w:p>
      <w:pPr>
        <w:pStyle w:val="ListBullet"/>
      </w:pPr>
      <w:r>
        <w:t>Exportable artifacts for reporting and reproducibility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End-to-end walkthrough included for independent rerun.</w:t>
      </w:r>
    </w:p>
    <w:p>
      <w:pPr>
        <w:pStyle w:val="ListBullet"/>
      </w:pPr>
      <w:r>
        <w:t>Evidence statements tied to local artifact paths.</w:t>
      </w:r>
    </w:p>
    <w:p>
      <w:pPr>
        <w:pStyle w:val="ListBullet"/>
      </w:pPr>
      <w:r>
        <w:t>Limitations and claim boundaries stated explicitly.</w:t>
      </w:r>
    </w:p>
    <w:p>
      <w:pPr>
        <w:pStyle w:val="ListBullet"/>
      </w:pPr>
      <w:r>
        <w:t>Submission blockers clearly listed in checklist form.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>Dataset reference: `</w:t>
      </w:r>
      <w:r>
        <w:t>pairwise70_benchmark_sensitivity\ctgov_linkage_raw\CD014089_data.json</w:t>
      </w:r>
      <w:r>
        <w:t>`</w:t>
      </w:r>
    </w:p>
    <w:p>
      <w:pPr>
        <w:pStyle w:val="ListBullet"/>
      </w:pPr>
      <w:r>
        <w:t>Rationale: fixed demonstration artifacts improve reviewer reproducibility.</w:t>
      </w:r>
    </w:p>
    <w:p>
      <w:pPr>
        <w:pStyle w:val="Heading3"/>
      </w:pPr>
      <w:r>
        <w:t>Use case 1: Primary model execution</w:t>
      </w:r>
    </w:p>
    <w:p>
      <w:r>
        <w:t>Workflow:</w:t>
      </w:r>
    </w:p>
    <w:p>
      <w:pPr>
        <w:pStyle w:val="ListBullet"/>
      </w:pPr>
      <w:r>
        <w:t>Load demonstration data and run default model configuration.</w:t>
      </w:r>
    </w:p>
    <w:p>
      <w:pPr>
        <w:pStyle w:val="ListBullet"/>
      </w:pPr>
      <w:r>
        <w:t>Review primary outputs and uncertainty diagnostics.</w:t>
      </w:r>
    </w:p>
    <w:p>
      <w:pPr>
        <w:pStyle w:val="ListBullet"/>
      </w:pPr>
      <w:r>
        <w:t>Export results for reproducibility archive.</w:t>
      </w:r>
    </w:p>
    <w:p>
      <w:r>
        <w:t>Expected outputs for manuscript:</w:t>
      </w:r>
    </w:p>
    <w:p>
      <w:pPr>
        <w:pStyle w:val="ListBullet"/>
      </w:pPr>
      <w:r>
        <w:t>Primary estimate summary</w:t>
      </w:r>
    </w:p>
    <w:p>
      <w:pPr>
        <w:pStyle w:val="ListBullet"/>
      </w:pPr>
      <w:r>
        <w:t>Diagnostics and model-status outputs</w:t>
      </w:r>
    </w:p>
    <w:p>
      <w:pPr>
        <w:pStyle w:val="ListBullet"/>
      </w:pPr>
      <w:r>
        <w:t>Exportable reporting artifacts</w:t>
      </w:r>
    </w:p>
    <w:p>
      <w:pPr>
        <w:pStyle w:val="Heading3"/>
      </w:pPr>
      <w:r>
        <w:t>Use case 2: Sensitivity and robustness check</w:t>
      </w:r>
    </w:p>
    <w:p>
      <w:r>
        <w:t>Workflow:</w:t>
      </w:r>
    </w:p>
    <w:p>
      <w:pPr>
        <w:pStyle w:val="ListBullet"/>
      </w:pPr>
      <w:r>
        <w:t>Re-run with alternative settings (e.g., heterogeneity/sensitivity options).</w:t>
      </w:r>
    </w:p>
    <w:p>
      <w:pPr>
        <w:pStyle w:val="ListBullet"/>
      </w:pPr>
      <w:r>
        <w:t>Compare directional and magnitude stability of key outputs.</w:t>
      </w:r>
    </w:p>
    <w:p>
      <w:pPr>
        <w:pStyle w:val="ListBullet"/>
      </w:pPr>
      <w:r>
        <w:t>Document any materially different conclusions.</w:t>
      </w:r>
    </w:p>
    <w:p>
      <w:r>
        <w:t>Expected outputs for manuscript:</w:t>
      </w:r>
    </w:p>
    <w:p>
      <w:pPr>
        <w:pStyle w:val="ListBullet"/>
      </w:pPr>
      <w:r>
        <w:t>Sensitivity-aware interpretation</w:t>
      </w:r>
    </w:p>
    <w:p>
      <w:pPr>
        <w:pStyle w:val="ListBullet"/>
      </w:pPr>
      <w:r>
        <w:t>Traceable robustness evidence</w:t>
      </w:r>
    </w:p>
    <w:p>
      <w:pPr>
        <w:pStyle w:val="Heading3"/>
      </w:pPr>
      <w:r>
        <w:t>Reviewer-facing walkthrough (replicable package check)</w:t>
      </w:r>
    </w:p>
    <w:p>
      <w:r>
        <w:t xml:space="preserve">1. Run one documented entry point (e.g., </w:t>
      </w:r>
      <w:r>
        <w:t>README.md</w:t>
      </w:r>
      <w:r>
        <w:t>).</w:t>
      </w:r>
    </w:p>
    <w:p>
      <w:r>
        <w:t>2. Load a demonstration/test dataset (e.g., `</w:t>
      </w:r>
      <w:r>
        <w:t>pairwise70_benchmark_sensitivity\ctgov_linkage_raw\CD014089_data.json</w:t>
      </w:r>
      <w:r>
        <w:t>`).</w:t>
      </w:r>
    </w:p>
    <w:p>
      <w:r>
        <w:t>3. Execute default analysis and record outputs.</w:t>
      </w:r>
    </w:p>
    <w:p>
      <w:r>
        <w:t>4. Execute at least one sensitivity rerun and compare conclusions.</w:t>
      </w:r>
    </w:p>
    <w:p>
      <w:r>
        <w:t>5. Cross-check outputs against listed validation evidence paths.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Start with packaged demonstration data before using external data.</w:t>
      </w:r>
    </w:p>
    <w:p>
      <w:pPr>
        <w:pStyle w:val="ListBullet"/>
      </w:pPr>
      <w:r>
        <w:t>Verify exported results against on-screen summaries.</w:t>
      </w:r>
    </w:p>
    <w:p>
      <w:pPr>
        <w:pStyle w:val="ListBullet"/>
      </w:pPr>
      <w:r>
        <w:t>Use checklist items before submission or release tagging.</w:t>
      </w:r>
    </w:p>
    <w:p>
      <w:pPr>
        <w:pStyle w:val="ListBullet"/>
      </w:pPr>
      <w:r>
        <w:t>Report warnings and convergence caveats with analysis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primary strength is operational transparency: workflow steps, outputs, and evidence references are all documented in one package-level path. This improves reviewer auditability and reduces undocumented handoffs.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package is not framed as a universal replacement for all existing methods/tools.</w:t>
      </w:r>
    </w:p>
    <w:p>
      <w:pPr>
        <w:pStyle w:val="ListBullet"/>
      </w:pPr>
      <w:r>
        <w:t>Claims are restricted to artifact-supported local workflows.</w:t>
      </w:r>
    </w:p>
    <w:p>
      <w:pPr>
        <w:pStyle w:val="ListBullet"/>
      </w:pPr>
      <w:r>
        <w:t>Interpretation quality remains dependent on methodological fit and data quality.</w:t>
      </w:r>
    </w:p>
    <w:p>
      <w:pPr>
        <w:pStyle w:val="ListBullet"/>
      </w:pPr>
      <w:r>
        <w:t>Repository URL and DOI metadata are still required before submission.</w:t>
      </w:r>
    </w:p>
    <w:p>
      <w:pPr>
        <w:pStyle w:val="Heading2"/>
      </w:pPr>
      <w:r>
        <w:t>Conclusions</w:t>
      </w:r>
    </w:p>
    <w:p>
      <w:r>
        <w:t>GWAM is structured for reproducible modeling workflows with explicit evidence mapping and bounded claims. With final repository/DOI metadata completed, the package is prepared for software-tool reporting.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or primary run overview.</w:t>
      </w:r>
    </w:p>
    <w:p>
      <w:r>
        <w:t>Figure 2. Model configuration and parameter workflow.</w:t>
      </w:r>
    </w:p>
    <w:p>
      <w:r>
        <w:t>Figure 3. Primary results and diagnostics view.</w:t>
      </w:r>
    </w:p>
    <w:p>
      <w:r>
        <w:t>Figure 4. Sensitivity/robustness view.</w:t>
      </w:r>
    </w:p>
    <w:p>
      <w:r>
        <w:t>Figure 5. Export/reporting workflow view.</w:t>
      </w:r>
    </w:p>
    <w:p>
      <w:r>
        <w:t>Figure assets should be generated from representative full-page runs and mapped to Figure 1-5 during final submission.</w:t>
      </w:r>
    </w:p>
    <w:p>
      <w:pPr>
        <w:pStyle w:val="Heading3"/>
      </w:pPr>
      <w:r>
        <w:t>Submission figure files (separate, 300 DPI; screenshots only)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pairwise70_benchmark_sensitivity\ctgov_linkage_raw\CD014089_data.json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GWAM</w:t>
      </w:r>
      <w:r>
        <w:t xml:space="preserve"> under </w:t>
      </w:r>
      <w:r>
        <w:t>C:\Models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development build (version label to be finalized)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pairwise70_benchmark_sensitivity\ctgov_linkage_raw\CD014089_data.json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reproducible software engineering practices.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p>
      <w:r>
        <w:t>5. Fay C, Rochette S, Guyader V, Girard C. Engineering Production-Grade Shiny Apps. Chapman and Hall/CRC.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GWAM: a software tool for reproducible evidence-synthesis and modeling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