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HTA Artifact Standard: an open-source software tool for integrated health technology assessment workflows</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Health technology assessment work often spans evidence synthesis, economic modeling, and uncertainty reporting, but these tasks are frequently fragmented across tools. HTA Artifact Standard was created as a unified open-source browser environment for that workflow.</w:t>
      </w:r>
    </w:p>
    <w:p>
      <w:r>
        <w:rPr>
          <w:b/>
        </w:rPr>
        <w:t>Methods:</w:t>
      </w:r>
      <w:r>
        <w:t xml:space="preserve"> The software uses a modular client-side JavaScript architecture. The interface includes model specification, base-case calculation, probabilistic sensitivity analysis, EVPI and EVPPI reporting, calibration inputs, Kaplan-Meier import, and artifact packaging using the </w:t>
      </w:r>
      <w:r>
        <w:t>.hta.zip</w:t>
      </w:r>
      <w:r>
        <w:t xml:space="preserve"> format.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HTA Artifact Standard provides a practical browser-native workflow for evidence synthesis; final submission readiness depends on attaching a public repository link and DOI-archived release metadata.</w:t>
      </w:r>
    </w:p>
    <w:p>
      <w:pPr>
        <w:pStyle w:val="Heading2"/>
      </w:pPr>
      <w:r>
        <w:t>Keywords</w:t>
      </w:r>
    </w:p>
    <w:p>
      <w:r>
        <w:t>health technology assessment; decision modeling; probabilistic sensitivity analysis; EVPI; open-source software</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Health technology assessment workflows must connect model assumptions, uncertainty analyses, and decision outputs without hidden intermediate steps. Fragmented tooling can obscure traceability and reduce reviewer confidence.</w:t>
      </w:r>
    </w:p>
    <w:p>
      <w:r>
        <w:t>HTA Artifact Standard provides a browser-based environment for structured HTA runs with explicit input, model, and output pathways. The manuscript prioritizes clarity, reproducibility, and calibrated claims aligned with documented comparator validation.</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platform uses a modular JavaScript architecture with artifact-oriented execution from a browser context. Core modules handle model configuration, base-case computation, probabilistic sensitivity analysis, EVPI/EVPPI estimation, calibration workflows, and artifact packaging for downstream governance.</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index.html</w:t>
      </w:r>
      <w:r>
        <w:t xml:space="preserve">, then load a </w:t>
      </w:r>
      <w:r>
        <w:t>.hta.zip</w:t>
      </w:r>
      <w:r>
        <w:t xml:space="preserve"> artifact or initialize a new model configuration.</w:t>
      </w:r>
    </w:p>
    <w:p>
      <w:pPr>
        <w:pStyle w:val="ListBullet"/>
      </w:pPr>
      <w:r>
        <w:t>Set structural and economic parameters, including horizon assumptions and key effectiveness/cost inputs.</w:t>
      </w:r>
    </w:p>
    <w:p>
      <w:pPr>
        <w:pStyle w:val="ListBullet"/>
      </w:pPr>
      <w:r>
        <w:t>Execute base-case and probabilistic runs, review EVPI/EVPPI outputs, and inspect calibration/validation states.</w:t>
      </w:r>
    </w:p>
    <w:p>
      <w:pPr>
        <w:pStyle w:val="ListBullet"/>
      </w:pPr>
      <w:r>
        <w:t>Export artifact and result summaries for committee review and reproducibility documentation.</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Incremental cost-effectiveness ratio (ICER)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ICER = \frac{C_1 - C_0}{E_1 - E_0}</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Calculates the additional cost per additional unit of effectiveness between comparator options.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Net monetary benefit (NMB)</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NMB(\lambda) = \lambda \Delta E - \Delta 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Converts cost-effectiveness into a single decision metric at willingness-to-pay threshold lambda.</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Expected value of perfect information (EVPI)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EVPI(\lambda) = \mathbb{E}[\max_j NMB_j] - \max_j \mathbb{E}[NMB_j]</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Quantifies the expected loss from current uncertainty and the potential value of eliminating it.</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2880"/>
        <w:gridCol w:w="2880"/>
        <w:gridCol w:w="2880"/>
      </w:tblGrid>
      <w:tr>
        <w:trPr>
          <w:tblHeader w:val="true"/>
        </w:trP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Independent R Markov fixture runner (</w:t>
            </w:r>
            <w:r>
              <w:rPr>
                <w:rFonts w:ascii="Calibri" w:hAnsi="Calibri"/>
                <w:sz w:val="20"/>
              </w:rPr>
              <w:t>r_reference</w:t>
            </w:r>
            <w:r>
              <w:rPr>
                <w:rFonts w:ascii="Calibri" w:hAnsi="Calibri"/>
                <w:sz w:val="20"/>
              </w:rPr>
              <w:t>) used as external comparator.</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reports/reference-validation.json</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3 fixtures; external comparators checked=3.</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reports/reference-validation.json</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Pass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passed=3, failed=0, informational=0.</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reports/reference-validation.json</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Observed agreement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max absolute error=4.72e-05; max relative error=1.14e-05.</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reports/reference-validation.json</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Tolerance criteria</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costs &lt;= 0.01; qalys &lt;= 0.0001; relative &lt;= 0.001.</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reports/reference-validation.json</w:t>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Demo HTA artifact package (</w:t>
      </w:r>
      <w:r>
        <w:t>.hta.zip</w:t>
      </w:r>
      <w:r>
        <w:t>) containing model structure and default parameters</w:t>
      </w:r>
    </w:p>
    <w:p>
      <w:pPr>
        <w:pStyle w:val="ListBullet"/>
      </w:pPr>
      <w:r>
        <w:t>Rationale: a fixed demo dataset enables reproducible method demonstration and easier reviewer verification.</w:t>
      </w:r>
    </w:p>
    <w:p>
      <w:pPr>
        <w:pStyle w:val="Heading3"/>
      </w:pPr>
      <w:r>
        <w:t>Use case 1: Base-case and uncertainty walkthrough</w:t>
      </w:r>
    </w:p>
    <w:p>
      <w:r>
        <w:t>Workflow:</w:t>
      </w:r>
    </w:p>
    <w:p>
      <w:pPr>
        <w:pStyle w:val="ListBullet"/>
      </w:pPr>
      <w:r>
        <w:t xml:space="preserve">Open the demo </w:t>
      </w:r>
      <w:r>
        <w:t>.hta.zip</w:t>
      </w:r>
      <w:r>
        <w:t xml:space="preserve"> artifact and confirm model metadata.</w:t>
      </w:r>
    </w:p>
    <w:p>
      <w:pPr>
        <w:pStyle w:val="ListBullet"/>
      </w:pPr>
      <w:r>
        <w:t>Run base-case calculations and then probabilistic sensitivity analysis.</w:t>
      </w:r>
    </w:p>
    <w:p>
      <w:pPr>
        <w:pStyle w:val="ListBullet"/>
      </w:pPr>
      <w:r>
        <w:t>Inspect EVPI and EVPPI panels for decision uncertainty interpretation.</w:t>
      </w:r>
    </w:p>
    <w:p>
      <w:pPr>
        <w:pStyle w:val="ListBullet"/>
      </w:pPr>
      <w:r>
        <w:t>Export outputs for committee-ready documentation.</w:t>
      </w:r>
    </w:p>
    <w:p>
      <w:r>
        <w:t>Expected outputs for the manuscript:</w:t>
      </w:r>
    </w:p>
    <w:p>
      <w:pPr>
        <w:pStyle w:val="ListBullet"/>
      </w:pPr>
      <w:r>
        <w:t>Base-case decision outputs with uncertainty measures</w:t>
      </w:r>
    </w:p>
    <w:p>
      <w:pPr>
        <w:pStyle w:val="ListBullet"/>
      </w:pPr>
      <w:r>
        <w:t>Value-of-information summaries for policy discussion</w:t>
      </w:r>
    </w:p>
    <w:p>
      <w:pPr>
        <w:pStyle w:val="Heading3"/>
      </w:pPr>
      <w:r>
        <w:t>Use case 2: Scenario and horizon comparison</w:t>
      </w:r>
    </w:p>
    <w:p>
      <w:r>
        <w:t>Workflow:</w:t>
      </w:r>
    </w:p>
    <w:p>
      <w:pPr>
        <w:pStyle w:val="ListBullet"/>
      </w:pPr>
      <w:r>
        <w:t>Alter time horizon and selected cost-effectiveness assumptions.</w:t>
      </w:r>
    </w:p>
    <w:p>
      <w:pPr>
        <w:pStyle w:val="ListBullet"/>
      </w:pPr>
      <w:r>
        <w:t>Re-run analyses and compare impact on decision metrics.</w:t>
      </w:r>
    </w:p>
    <w:p>
      <w:pPr>
        <w:pStyle w:val="ListBullet"/>
      </w:pPr>
      <w:r>
        <w:t>Record scenario provenance in the artifact history log.</w:t>
      </w:r>
    </w:p>
    <w:p>
      <w:r>
        <w:t>Expected outputs for the manuscript:</w:t>
      </w:r>
    </w:p>
    <w:p>
      <w:pPr>
        <w:pStyle w:val="ListBullet"/>
      </w:pPr>
      <w:r>
        <w:t>Scenario comparison ready for HTA method meetings</w:t>
      </w:r>
    </w:p>
    <w:p>
      <w:pPr>
        <w:pStyle w:val="ListBullet"/>
      </w:pPr>
      <w:r>
        <w:t>Traceable model-change record</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HTA</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tool supports end-to-end HTA handling in a single interface, which improves transparency of scenario setup and output interpretation. Artifact-linked R reference checks strengthen confidence in the tested deterministic and comparator-facing modules.</w:t>
      </w:r>
    </w:p>
    <w:p>
      <w:r>
        <w:t>Limitations include finite coverage of test fixtures and reliance on local operating environments for reproducibility. Therefore, conclusions are restricted to validated workflows and should not be generalized beyond tested model classes without additional evidence.</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HTA Artifact Standard delivers a reproducible browser workflow for core HTA operations with explicit validation artifacts. Final public archiving metadata will complete submission readiness.</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BENCHMARK_VS_TREEAGE.md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HTA</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BENCHMARK_VS_TREEAGE.md</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