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IPD Meta-Analysis Pro: a browser software tool for individual participant data meta-analysis</w:t>
      </w:r>
    </w:p>
    <w:p>
      <w:pPr>
        <w:pStyle w:val="Heading2"/>
      </w:pPr>
      <w:r>
        <w:t>Authors</w:t>
      </w:r>
    </w:p>
    <w:p>
      <w:pPr>
        <w:pStyle w:val="ListBullet"/>
      </w:pPr>
      <w:r>
        <w:t>Mahmood Ahmad [1,2]</w:t>
      </w:r>
    </w:p>
    <w:p>
      <w:pPr>
        <w:pStyle w:val="ListBullet"/>
      </w:pPr>
      <w:r>
        <w:t>Niraj Kumar [1]</w:t>
      </w:r>
    </w:p>
    <w:p>
      <w:pPr>
        <w:pStyle w:val="ListBullet"/>
      </w:pPr>
      <w:r>
        <w:t>Bilaal Dar [3]</w:t>
      </w:r>
    </w:p>
    <w:p>
      <w:pPr>
        <w:pStyle w:val="ListBullet"/>
      </w:pPr>
      <w:r>
        <w:t>Laiba Khan [1]</w:t>
      </w:r>
    </w:p>
    <w:p>
      <w:pPr>
        <w:pStyle w:val="ListBullet"/>
      </w:pPr>
      <w:r>
        <w:t>Andrew Woo [4]</w:t>
      </w:r>
    </w:p>
    <w:p>
      <w:pPr>
        <w:pStyle w:val="ListBullet"/>
      </w:pPr>
      <w:r>
        <w:t>Corresponding author: Andrew Woo (andy2709w@gmail.com)</w:t>
      </w:r>
    </w:p>
    <w:p>
      <w:pPr>
        <w:pStyle w:val="Heading2"/>
      </w:pPr>
      <w:r>
        <w:t>Affiliations</w:t>
      </w:r>
    </w:p>
    <w:p>
      <w:r>
        <w:t>1. Royal Free Hospital</w:t>
      </w:r>
    </w:p>
    <w:p>
      <w:r>
        <w:t>2. Tahir Heart Institute Rabwah</w:t>
      </w:r>
    </w:p>
    <w:p>
      <w:r>
        <w:t>3. King's College Medical School</w:t>
      </w:r>
    </w:p>
    <w:p>
      <w:r>
        <w:t>4. St George's Medical School</w:t>
      </w:r>
    </w:p>
    <w:p>
      <w:pPr>
        <w:pStyle w:val="Heading2"/>
      </w:pPr>
      <w:r>
        <w:t>Abstract</w:t>
      </w:r>
    </w:p>
    <w:p>
      <w:r>
        <w:rPr>
          <w:b/>
        </w:rPr>
        <w:t>Background:</w:t>
      </w:r>
      <w:r>
        <w:t xml:space="preserve"> Individual participant data meta-analysis can improve effect estimation and subgroup interpretation, but reproducible setup is operationally demanding. IPD Meta-Analysis Pro targets this gap with an integrated browser workflow.</w:t>
      </w:r>
    </w:p>
    <w:p>
      <w:r>
        <w:rPr>
          <w:b/>
        </w:rPr>
        <w:t>Methods:</w:t>
      </w:r>
      <w:r>
        <w:t xml:space="preserve"> The tool is distributed as a standalone HTML interface with client-side analysis and export modules. The application exposes IPD model setup, diagnostic inspection, GRADE-oriented review panels, network-analysis options, session save and restore, and structured export functionality. A Playwright browser workflow was used on 2026-03-01 to capture representative full-page interface states from the local runnable build.</w:t>
      </w:r>
    </w:p>
    <w:p>
      <w:r>
        <w:rPr>
          <w:b/>
        </w:rPr>
        <w:t>Results:</w:t>
      </w:r>
      <w:r>
        <w:t xml:space="preserve"> The software completed end-to-end browser workflows for data input, model execution, visual analytics, and export within the domain-specific interface.</w:t>
      </w:r>
    </w:p>
    <w:p>
      <w:r>
        <w:rPr>
          <w:b/>
        </w:rPr>
        <w:t>Conclusions:</w:t>
      </w:r>
      <w:r>
        <w:t xml:space="preserve"> IPD Meta-Analysis Pro provides a practical browser-native workflow for evidence synthesis; final submission readiness depends on attaching a public repository link and DOI-archived release metadata.</w:t>
      </w:r>
    </w:p>
    <w:p>
      <w:pPr>
        <w:pStyle w:val="Heading2"/>
      </w:pPr>
      <w:r>
        <w:t>Keywords</w:t>
      </w:r>
    </w:p>
    <w:p>
      <w:r>
        <w:t>individual participant data; meta-analysis; GRADE; model diagnostics; browser analytics</w:t>
      </w:r>
    </w:p>
    <w:p>
      <w:pPr>
        <w:pStyle w:val="Heading2"/>
      </w:pPr>
      <w:r>
        <w:t>Visual Abstract</w:t>
      </w:r>
    </w:p>
    <w:p>
      <w:pPr>
        <w:pStyle w:val="Heading3"/>
      </w:pPr>
      <w:r>
        <w:t>Workflow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Panel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Key message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What the software does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Reviewer-check evidence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Clinical problem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Evidence-synthesis workflows are often fragmented and hard to audit.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Consolidates data input, model execution, diagnostics, and exports in one workflow.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Manuscript Methods + reproducibility checklist.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Inputs and setup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Reproducibility depends on explicit data/schema and parameter states.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Uses user-provided or demo datasets with configurable model and sensitivity settings.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Use-case walkthrough + saved run configuration.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Analysis core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Credible conclusions require transparent estimation and diagnostics.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Runs primary model(s), heterogeneity handling, and sensitivity modules with exportable outputs.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Results/diagnostic tables + validation artifact paths.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Output and interpretation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Outputs must be interpretable, bounded, and independently checkable.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Produces pooled estimates, plots, diagnostics, and reporting exports for independent review.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Validation evidence table + checklist-linked artifacts.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Claim boundary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Software articles should avoid unsupported superiority claims.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States limitations, scope, and pending metadata requirements explicitly.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Discussion limitations + submission blockers checklist.</w:t>
            </w:r>
          </w:p>
        </w:tc>
      </w:tr>
    </w:tbl>
    <w:p/>
    <w:p>
      <w:pPr>
        <w:pStyle w:val="Heading2"/>
      </w:pPr>
      <w:r>
        <w:t>Introduction</w:t>
      </w:r>
    </w:p>
    <w:p>
      <w:r>
        <w:t>Participant-level meta-analysis requires careful coordination of modeling assumptions, estimator choices, and diagnostics across heterogeneous datasets. In practice, this is often operationally complex and difficult to reproduce across teams.</w:t>
      </w:r>
    </w:p>
    <w:p>
      <w:r>
        <w:t>IPD Meta-Analysis Pro is designed to provide a single operational surface for these tasks while preserving methodological transparency. The manuscript reports capabilities and validation parity gates as implemented, with conservative interpretation of what the current evidence supports.</w:t>
      </w:r>
    </w:p>
    <w:p>
      <w:pPr>
        <w:pStyle w:val="Heading3"/>
      </w:pPr>
      <w:r>
        <w:t>Positioning against existing tools</w:t>
      </w:r>
    </w:p>
    <w:p>
      <w:r>
        <w:t>This package is positioned relative to established options including CRSU/MetaInsight web tools, Comprehensive Meta-Analysis (CMA), Stata-based workflows, and package-driven R pipelines. The intended contribution here is workflow transparency, reproducibility scaffolding, and explicit claim boundaries, not blanket superiority over existing platforms.</w:t>
      </w:r>
    </w:p>
    <w:p>
      <w:pPr>
        <w:pStyle w:val="Heading3"/>
      </w:pPr>
      <w:r>
        <w:t>Table 1. Positioning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This package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Established alternatives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Claim boundary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Primary goal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Transparent, reproducible end-to-end workflow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Mature GUIs/statistical packages with broad legacy adoption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Scope limited to demonstrated workflows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User profile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Clinicians/researchers needing guided reproducibility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Advanced analysts and mixed-skill teams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Complementary use is recommended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Strength emphasis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Auditability, artifact linkage, structured outputs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Feature breadth and ecosystem maturity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Interpret strengths relative to use case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Reproducibility support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Walkthrough + validation summary + checklist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Varies by tool/package and setup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Claims remain artifact-bounded</w:t>
            </w:r>
          </w:p>
        </w:tc>
      </w:tr>
    </w:tbl>
    <w:p/>
    <w:p>
      <w:pPr>
        <w:pStyle w:val="Heading2"/>
      </w:pPr>
      <w:r>
        <w:t>Methods</w:t>
      </w:r>
    </w:p>
    <w:p>
      <w:pPr>
        <w:pStyle w:val="Heading3"/>
      </w:pPr>
      <w:r>
        <w:t>Implementation</w:t>
      </w:r>
    </w:p>
    <w:p>
      <w:r>
        <w:t>The software provides client-side orchestration of data handling, model execution, and visualization in one interactive interface. Modules for IPD setup, network-oriented options, diagnostic inspection, and report/session export are coordinated through persistent state controls to support reproducible reruns.</w:t>
      </w:r>
    </w:p>
    <w:p>
      <w:pPr>
        <w:pStyle w:val="Heading3"/>
      </w:pPr>
      <w:r>
        <w:t>Installation and local execution requirements</w:t>
      </w:r>
    </w:p>
    <w:p>
      <w:pPr>
        <w:pStyle w:val="ListBullet"/>
      </w:pPr>
      <w:r>
        <w:t xml:space="preserve">Confirm required runtime dependencies listed in </w:t>
      </w:r>
      <w:r>
        <w:t>README.md</w:t>
      </w:r>
      <w:r>
        <w:t xml:space="preserve"> and project environment files.</w:t>
      </w:r>
    </w:p>
    <w:p>
      <w:pPr>
        <w:pStyle w:val="ListBullet"/>
      </w:pPr>
      <w:r>
        <w:t>Use a clean environment for first-run verification to avoid hidden local-state effects.</w:t>
      </w:r>
    </w:p>
    <w:p>
      <w:pPr>
        <w:pStyle w:val="ListBullet"/>
      </w:pPr>
      <w:r>
        <w:t>Run the documented primary entry point and capture logs/screenshots for reproducibility notes.</w:t>
      </w:r>
    </w:p>
    <w:p>
      <w:pPr>
        <w:pStyle w:val="ListBullet"/>
      </w:pPr>
      <w:r>
        <w:t>If package-specific dependencies are unavailable, record the exact version mismatch and fallback behavior.</w:t>
      </w:r>
    </w:p>
    <w:p>
      <w:pPr>
        <w:pStyle w:val="Heading3"/>
      </w:pPr>
      <w:r>
        <w:t>Operation</w:t>
      </w:r>
    </w:p>
    <w:p>
      <w:pPr>
        <w:pStyle w:val="ListBullet"/>
      </w:pPr>
      <w:r>
        <w:t xml:space="preserve">Open </w:t>
      </w:r>
      <w:r>
        <w:t>ipd-meta-pro.html</w:t>
      </w:r>
      <w:r>
        <w:t xml:space="preserve"> and initialize a new analysis session.</w:t>
      </w:r>
    </w:p>
    <w:p>
      <w:pPr>
        <w:pStyle w:val="ListBullet"/>
      </w:pPr>
      <w:r>
        <w:t>Import participant-level data and map required variables for treatment, outcomes, and covariates.</w:t>
      </w:r>
    </w:p>
    <w:p>
      <w:pPr>
        <w:pStyle w:val="ListBullet"/>
      </w:pPr>
      <w:r>
        <w:t>Configure core model assumptions (including prior/structure options where applicable) and execute analysis.</w:t>
      </w:r>
    </w:p>
    <w:p>
      <w:pPr>
        <w:pStyle w:val="ListBullet"/>
      </w:pPr>
      <w:r>
        <w:t>Review diagnostics and interpretation panels, then export results and session state for external verification.</w:t>
      </w:r>
    </w:p>
    <w:p>
      <w:pPr>
        <w:pStyle w:val="Heading3"/>
      </w:pPr>
      <w:r>
        <w:t>Table 2. Minimum input schema and validation checks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Input field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Validation rule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Failure risk if missing/invalid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Study identifier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Unique per row/group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Mislabelled outputs, merge errors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Effect/endpoint variables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Numeric + interpretable scale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Invalid model estimation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Uncertainty/count fields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Non-negative and non-null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Biased weighting or unstable inference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Model-setting metadata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Explicitly recorded at run time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Non-reproducible reruns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Source file provenance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Recommended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Track input path and version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Ambiguous audit trail</w:t>
            </w:r>
          </w:p>
        </w:tc>
      </w:tr>
    </w:tbl>
    <w:p/>
    <w:p>
      <w:pPr>
        <w:pStyle w:val="Heading3"/>
      </w:pPr>
      <w:r>
        <w:t>Core equations</w:t>
      </w:r>
    </w:p>
    <w:p>
      <w:r>
        <w:t>Key equations used in this manuscript are summarized in Table EQ1.</w:t>
      </w:r>
    </w:p>
    <w:p>
      <w:pPr>
        <w:pStyle w:val="Heading3"/>
      </w:pPr>
      <w:r>
        <w:t>Equation summary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Eq. ID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Model component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Expression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Interpretation role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E1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Participant-level logistic model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\mathrm{logit}\,P(Y_{ij}=1) = \alpha + \beta T_{ij} + \gamma^\top X_{ij} + u_j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Models binary outcome probability as a function of treatment and participant-level covariates.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E2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Random-effects variance structure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u_j \sim \mathcal{N}(0,\tau^2)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Defines between-study variability and within-study error assumptions for uncertainty estimation.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E3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Proportional hazards representation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h_{ij}(t) = h_0(t)\exp(\beta T_{ij} + \gamma^\top X_{ij})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Expresses time-to-event treatment effects relative to a baseline hazard function.</w:t>
            </w:r>
          </w:p>
        </w:tc>
      </w:tr>
    </w:tbl>
    <w:p/>
    <w:p>
      <w:pPr>
        <w:pStyle w:val="Heading3"/>
      </w:pPr>
      <w:r>
        <w:t>Reproducibility and validation</w:t>
      </w:r>
    </w:p>
    <w:p>
      <w:r>
        <w:t>All analytic states are controlled through explicit user-configurable parameters and exportable outputs. In this manuscript, demonstration workflows were repeated under fixed settings to confirm stable behavior across reruns, and figure generation was standardized to full-page captures for consistent interpretation.</w:t>
      </w:r>
    </w:p>
    <w:p>
      <w:pPr>
        <w:pStyle w:val="Heading4"/>
      </w:pPr>
      <w:r>
        <w:t>R validation evidence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Validation dimension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Evidence summary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Artifact source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Comparator environment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 reference pipelines in benchmark artifacts (two-stage, one-stage, gap methods, simulation, and replication gates).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dev/benchmarks/latest_ipd_parity_gate.json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Validation scope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Total benchmark rows across gate artifacts=72; generated_at=2026-02-26T14:57:54Z.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dev/benchmarks/latest_ipd_parity_gate.json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Gate decision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gate.pass=True; loop2=True, loop3=True, loop7=True.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dev/benchmarks/latest_ipd_parity_gate.json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Pass-rate summary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Minimum pass rate across tracked domains=1.00; all configured minimum thresholds set to 1.0.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dev/benchmarks/latest_ipd_parity_gate.json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Largest recorded diff field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max \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diff*\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value in top gap report=0.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dev/benchmarks/latest_ipd_parity_gate.json</w:t>
            </w:r>
          </w:p>
        </w:tc>
      </w:tr>
    </w:tbl>
    <w:p/>
    <w:p>
      <w:pPr>
        <w:pStyle w:val="Heading3"/>
      </w:pPr>
      <w:r>
        <w:t>Core functionality exposed in the interface</w:t>
      </w:r>
    </w:p>
    <w:p>
      <w:pPr>
        <w:pStyle w:val="ListBullet"/>
      </w:pPr>
      <w:r>
        <w:t>Interactive data ingestion and validation controls</w:t>
      </w:r>
    </w:p>
    <w:p>
      <w:pPr>
        <w:pStyle w:val="ListBullet"/>
      </w:pPr>
      <w:r>
        <w:t>Configurable analysis models with sensitivity options</w:t>
      </w:r>
    </w:p>
    <w:p>
      <w:pPr>
        <w:pStyle w:val="ListBullet"/>
      </w:pPr>
      <w:r>
        <w:t>Integrated visualization panels for interpretive review</w:t>
      </w:r>
    </w:p>
    <w:p>
      <w:pPr>
        <w:pStyle w:val="ListBullet"/>
      </w:pPr>
      <w:r>
        <w:t>Export pathways for reporting and reproducibility artifacts</w:t>
      </w:r>
    </w:p>
    <w:p>
      <w:pPr>
        <w:pStyle w:val="Heading3"/>
      </w:pPr>
      <w:r>
        <w:t>Reviewer-informed reproducibility safeguards</w:t>
      </w:r>
    </w:p>
    <w:p>
      <w:pPr>
        <w:pStyle w:val="ListBullet"/>
      </w:pPr>
      <w:r>
        <w:t>The manuscript includes a concrete runnable workflow from data import to export, avoiding outline-only reporting.</w:t>
      </w:r>
    </w:p>
    <w:p>
      <w:pPr>
        <w:pStyle w:val="ListBullet"/>
      </w:pPr>
      <w:r>
        <w:t>Example/demo datasets are used for reviewer walkthroughs so outputs can be replicated without author-specific data access.</w:t>
      </w:r>
    </w:p>
    <w:p>
      <w:pPr>
        <w:pStyle w:val="ListBullet"/>
      </w:pPr>
      <w:r>
        <w:t>Validation artifacts are declared in a structured table with explicit source paths, reducing unverifiable performance claims.</w:t>
      </w:r>
    </w:p>
    <w:p>
      <w:pPr>
        <w:pStyle w:val="ListBullet"/>
      </w:pPr>
      <w:r>
        <w:t>Claims are bounded to tested scenarios and should be interpreted with the documented tolerance and caveat context.</w:t>
      </w:r>
    </w:p>
    <w:p>
      <w:pPr>
        <w:pStyle w:val="Heading3"/>
      </w:pPr>
      <w:r>
        <w:t>Output interpretation guidance</w:t>
      </w:r>
    </w:p>
    <w:p>
      <w:r>
        <w:t>Interpret outputs jointly across effect estimates, uncertainty intervals, heterogeneity diagnostics, and sensitivity results. For small study counts, rare-event settings, or model-mismatch scenarios, treat asymmetry tests and pooled estimates cautiously. When assumptions are only approximately met (e.g., large-sample approximations), results should be reported with explicit caveats.</w:t>
      </w:r>
    </w:p>
    <w:p>
      <w:pPr>
        <w:pStyle w:val="Heading3"/>
      </w:pPr>
      <w:r>
        <w:t>Table 4. Output-to-decision interpretation guide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Output type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What it tells you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What it does not guarantee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Reporting recommendation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Primary pooled/model estimate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Central tendency under stated assumptions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Universal validity across all settings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Report with assumptions and uncertainty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Heterogeneity metrics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Between-study variability signal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Definitive cause of heterogeneity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Pair with subgroup/sensitivity rationale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Bias/asymmetry checks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Potential small-study/publication-bias signal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Definitive proof of bias mechanism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Report small-k limitations explicitly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Sensitivity analyses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Robustness under alternate assumptions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Immunity to all model misspecification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Present scenario-wise evidence table</w:t>
            </w:r>
          </w:p>
        </w:tc>
      </w:tr>
    </w:tbl>
    <w:p/>
    <w:p>
      <w:pPr>
        <w:pStyle w:val="Heading2"/>
      </w:pPr>
      <w:r>
        <w:t>Use cases</w:t>
      </w:r>
    </w:p>
    <w:p>
      <w:pPr>
        <w:pStyle w:val="Heading3"/>
      </w:pPr>
      <w:r>
        <w:t>Demonstration dataset used for manuscript walkthrough</w:t>
      </w:r>
    </w:p>
    <w:p>
      <w:pPr>
        <w:pStyle w:val="ListBullet"/>
      </w:pPr>
      <w:r>
        <w:t>Dataset profile: Demo individual participant data table with treatment, covariates, and outcome fields</w:t>
      </w:r>
    </w:p>
    <w:p>
      <w:pPr>
        <w:pStyle w:val="ListBullet"/>
      </w:pPr>
      <w:r>
        <w:t>Rationale: a fixed demo dataset enables reproducible method demonstration and easier reviewer verification.</w:t>
      </w:r>
    </w:p>
    <w:p>
      <w:pPr>
        <w:pStyle w:val="Heading3"/>
      </w:pPr>
      <w:r>
        <w:t>Use case 1: IPD model execution on demo data</w:t>
      </w:r>
    </w:p>
    <w:p>
      <w:r>
        <w:t>Workflow:</w:t>
      </w:r>
    </w:p>
    <w:p>
      <w:pPr>
        <w:pStyle w:val="ListBullet"/>
      </w:pPr>
      <w:r>
        <w:t>Import the demo participant-level dataset and map required variables.</w:t>
      </w:r>
    </w:p>
    <w:p>
      <w:pPr>
        <w:pStyle w:val="ListBullet"/>
      </w:pPr>
      <w:r>
        <w:t>Configure the core model and run primary estimation.</w:t>
      </w:r>
    </w:p>
    <w:p>
      <w:pPr>
        <w:pStyle w:val="ListBullet"/>
      </w:pPr>
      <w:r>
        <w:t>Inspect diagnostics and certainty-support panels before export.</w:t>
      </w:r>
    </w:p>
    <w:p>
      <w:pPr>
        <w:pStyle w:val="ListBullet"/>
      </w:pPr>
      <w:r>
        <w:t>Save the session state for reproducible reruns.</w:t>
      </w:r>
    </w:p>
    <w:p>
      <w:r>
        <w:t>Expected outputs for the manuscript:</w:t>
      </w:r>
    </w:p>
    <w:p>
      <w:pPr>
        <w:pStyle w:val="ListBullet"/>
      </w:pPr>
      <w:r>
        <w:t>Participant-level effect estimates with diagnostics</w:t>
      </w:r>
    </w:p>
    <w:p>
      <w:pPr>
        <w:pStyle w:val="ListBullet"/>
      </w:pPr>
      <w:r>
        <w:t>Session artifact for exact reproduction</w:t>
      </w:r>
    </w:p>
    <w:p>
      <w:pPr>
        <w:pStyle w:val="Heading3"/>
      </w:pPr>
      <w:r>
        <w:t>Use case 2: Alternative specification check</w:t>
      </w:r>
    </w:p>
    <w:p>
      <w:r>
        <w:t>Workflow:</w:t>
      </w:r>
    </w:p>
    <w:p>
      <w:pPr>
        <w:pStyle w:val="ListBullet"/>
      </w:pPr>
      <w:r>
        <w:t>Adjust prior or model-family assumptions and repeat analysis.</w:t>
      </w:r>
    </w:p>
    <w:p>
      <w:pPr>
        <w:pStyle w:val="ListBullet"/>
      </w:pPr>
      <w:r>
        <w:t>Compare effect stability and diagnostic behavior.</w:t>
      </w:r>
    </w:p>
    <w:p>
      <w:pPr>
        <w:pStyle w:val="ListBullet"/>
      </w:pPr>
      <w:r>
        <w:t>Document accepted specification in exported report outputs.</w:t>
      </w:r>
    </w:p>
    <w:p>
      <w:r>
        <w:t>Expected outputs for the manuscript:</w:t>
      </w:r>
    </w:p>
    <w:p>
      <w:pPr>
        <w:pStyle w:val="ListBullet"/>
      </w:pPr>
      <w:r>
        <w:t>Transparent specification-sensitivity narrative</w:t>
      </w:r>
    </w:p>
    <w:p>
      <w:pPr>
        <w:pStyle w:val="ListBullet"/>
      </w:pPr>
      <w:r>
        <w:t>Reviewer-ready analytic trace</w:t>
      </w:r>
    </w:p>
    <w:p>
      <w:pPr>
        <w:pStyle w:val="Heading3"/>
      </w:pPr>
      <w:r>
        <w:t>Screenshot interpretation</w:t>
      </w:r>
    </w:p>
    <w:p>
      <w:pPr>
        <w:pStyle w:val="ListBullet"/>
      </w:pPr>
      <w:r>
        <w:t>Figure 1 documents the active analysis interface and confirms operational execution in a browser environment.</w:t>
      </w:r>
    </w:p>
    <w:p>
      <w:pPr>
        <w:pStyle w:val="ListBullet"/>
      </w:pPr>
      <w:r>
        <w:t>During submission, this figure should be paired with a short caption that names the demo dataset and run configuration.</w:t>
      </w:r>
    </w:p>
    <w:p>
      <w:pPr>
        <w:pStyle w:val="Heading3"/>
      </w:pPr>
      <w:r>
        <w:t>Reviewer-facing walkthrough (replicable package check)</w:t>
      </w:r>
    </w:p>
    <w:p>
      <w:r>
        <w:t xml:space="preserve">1. Open the primary application file in </w:t>
      </w:r>
      <w:r>
        <w:t>IPD-Meta-Pro</w:t>
      </w:r>
      <w:r>
        <w:t xml:space="preserve"> and load an included demo/example dataset.</w:t>
      </w:r>
    </w:p>
    <w:p>
      <w:r>
        <w:t>2. Run the default primary analysis and record the main pooled/model outputs.</w:t>
      </w:r>
    </w:p>
    <w:p>
      <w:r>
        <w:t>3. Trigger at least one sensitivity or subgroup option and compare directional stability.</w:t>
      </w:r>
    </w:p>
    <w:p>
      <w:r>
        <w:t>4. Export results and confirm that exported artifacts match on-screen summaries.</w:t>
      </w:r>
    </w:p>
    <w:p>
      <w:r>
        <w:t>5. Cross-check the run against the validation evidence paths listed in the manuscript.</w:t>
      </w:r>
    </w:p>
    <w:p>
      <w:pPr>
        <w:pStyle w:val="Heading3"/>
      </w:pPr>
      <w:r>
        <w:t>User tutorial and onboarding</w:t>
      </w:r>
    </w:p>
    <w:p>
      <w:pPr>
        <w:pStyle w:val="ListBullet"/>
      </w:pPr>
      <w:r>
        <w:t>Use the demonstration dataset path described in the Use Cases section for a first complete run.</w:t>
      </w:r>
    </w:p>
    <w:p>
      <w:pPr>
        <w:pStyle w:val="ListBullet"/>
      </w:pPr>
      <w:r>
        <w:t>Verify that exported outputs are internally consistent with on-screen results.</w:t>
      </w:r>
    </w:p>
    <w:p>
      <w:pPr>
        <w:pStyle w:val="ListBullet"/>
      </w:pPr>
      <w:r>
        <w:t>Use the validation evidence table and artifact paths to cross-check claims before interpretation.</w:t>
      </w:r>
    </w:p>
    <w:p>
      <w:pPr>
        <w:pStyle w:val="ListBullet"/>
      </w:pPr>
      <w:r>
        <w:t>Treat advanced settings cautiously and report any warnings, convergence notes, or caveats in outputs.</w:t>
      </w:r>
    </w:p>
    <w:p>
      <w:pPr>
        <w:pStyle w:val="Heading3"/>
      </w:pPr>
      <w:r>
        <w:t>Table 5. Assumptions, diagnostics, and caution flags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Assumption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Recommended diagnostic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Caution flag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Effect model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Chosen form reflects study design and outcome scale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Residual pattern + sensitivity reruns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Large directional shifts across settings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Heterogeneity handling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Random-effects assumptions are plausible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Tau/I2/Q-related diagnostics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Small-k instability or extreme heterogeneity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Approximation regime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Large-sample approximations adequate for data context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Rare-event and small-k checks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Sparse events / unstable variance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Sensitivity module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Alternative settings should not reverse core interpretation without explanation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Structured scenario comparison table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Inference changes without transparent rationale</w:t>
            </w:r>
          </w:p>
        </w:tc>
      </w:tr>
    </w:tbl>
    <w:p/>
    <w:p>
      <w:pPr>
        <w:pStyle w:val="Heading2"/>
      </w:pPr>
      <w:r>
        <w:t>Discussion</w:t>
      </w:r>
    </w:p>
    <w:p>
      <w:r>
        <w:t>A key strength is structured integration of multiple benchmark tracks into a reproducible workflow, including parity gates and scenario-based checks. This improves auditability of where agreement with R references is demonstrated.</w:t>
      </w:r>
    </w:p>
    <w:p>
      <w:r>
        <w:t>However, benchmark coverage is still scenario-bound, and ongoing expansion is needed for broader generalization across IPD settings. Claims are therefore intentionally limited to validated tracks and reported pass-rate thresholds.</w:t>
      </w:r>
    </w:p>
    <w:p>
      <w:pPr>
        <w:pStyle w:val="Heading3"/>
      </w:pPr>
      <w:r>
        <w:t>Limitations and claim boundaries (review-informed)</w:t>
      </w:r>
    </w:p>
    <w:p>
      <w:pPr>
        <w:pStyle w:val="ListBullet"/>
      </w:pPr>
      <w:r>
        <w:t>The software is not presented as a universal replacement for all evidence-synthesis platforms.</w:t>
      </w:r>
    </w:p>
    <w:p>
      <w:pPr>
        <w:pStyle w:val="ListBullet"/>
      </w:pPr>
      <w:r>
        <w:t>Utility claims are limited to demonstrated workflows and validated scenarios reported in this package.</w:t>
      </w:r>
    </w:p>
    <w:p>
      <w:pPr>
        <w:pStyle w:val="ListBullet"/>
      </w:pPr>
      <w:r>
        <w:t>Interpretation quality still depends on user method expertise, data quality, and appropriate model selection.</w:t>
      </w:r>
    </w:p>
    <w:p>
      <w:pPr>
        <w:pStyle w:val="ListBullet"/>
      </w:pPr>
      <w:r>
        <w:t>Public repository and DOI archival remain mandatory final-submission requirements for independent long-term reproducibility.</w:t>
      </w:r>
    </w:p>
    <w:p>
      <w:pPr>
        <w:pStyle w:val="Heading2"/>
      </w:pPr>
      <w:r>
        <w:t>Conclusions</w:t>
      </w:r>
    </w:p>
    <w:p>
      <w:r>
        <w:t>IPD Meta-Analysis Pro provides a reproducible participant-level synthesis workflow with explicit benchmark governance and artifact traceability. It is suitable for publication as a software method with repository and DOI metadata finalized.</w:t>
      </w:r>
    </w:p>
    <w:p>
      <w:pPr>
        <w:pStyle w:val="Heading2"/>
      </w:pPr>
      <w:r>
        <w:t>Workflow Figure Blueprint</w:t>
      </w:r>
    </w:p>
    <w:p>
      <w:pPr>
        <w:pStyle w:val="Heading3"/>
      </w:pPr>
      <w:r>
        <w:t>Figure FA1. End-to-end analytical flowchart</w:t>
      </w:r>
    </w:p>
    <w:p>
      <w:r>
        <w:t>Recommended node sequence:</w:t>
      </w:r>
    </w:p>
    <w:p>
      <w:r>
        <w:t>1. Data input and schema checks</w:t>
      </w:r>
    </w:p>
    <w:p>
      <w:r>
        <w:t>2. Model setup and assumptions</w:t>
      </w:r>
    </w:p>
    <w:p>
      <w:r>
        <w:t>3. Primary estimation</w:t>
      </w:r>
    </w:p>
    <w:p>
      <w:r>
        <w:t>4. Diagnostics and heterogeneity review</w:t>
      </w:r>
    </w:p>
    <w:p>
      <w:r>
        <w:t>5. Sensitivity and robustness analysis</w:t>
      </w:r>
    </w:p>
    <w:p>
      <w:r>
        <w:t>6. Export, reporting, and reproducibility checks</w:t>
      </w:r>
    </w:p>
    <w:p>
      <w:r>
        <w:t>Design specifications:</w:t>
      </w:r>
    </w:p>
    <w:p>
      <w:pPr>
        <w:pStyle w:val="ListBullet"/>
      </w:pPr>
      <w:r>
        <w:t>Use clean vector geometry, no decorative backgrounds.</w:t>
      </w:r>
    </w:p>
    <w:p>
      <w:pPr>
        <w:pStyle w:val="ListBullet"/>
      </w:pPr>
      <w:r>
        <w:t>Keep labels short, method-focused, and assumption-aware.</w:t>
      </w:r>
    </w:p>
    <w:p>
      <w:pPr>
        <w:pStyle w:val="ListBullet"/>
      </w:pPr>
      <w:r>
        <w:t>Ensure grayscale legibility for print workflows.</w:t>
      </w:r>
    </w:p>
    <w:p>
      <w:pPr>
        <w:pStyle w:val="ListBullet"/>
      </w:pPr>
      <w:r>
        <w:t>Keep scientific claims in manuscript text/tables; flowchart is explanatory only.</w:t>
      </w:r>
    </w:p>
    <w:p>
      <w:r>
        <w:t>Proposed figure files:</w:t>
      </w:r>
    </w:p>
    <w:p>
      <w:pPr>
        <w:pStyle w:val="ListBullet"/>
      </w:pPr>
      <w:r>
        <w:t>figures/figure00_workflow_flowchart.png</w:t>
      </w:r>
      <w:r>
        <w:t xml:space="preserve"> (working draft)</w:t>
      </w:r>
    </w:p>
    <w:p>
      <w:pPr>
        <w:pStyle w:val="ListBullet"/>
      </w:pPr>
      <w:r>
        <w:t>figures/figure00_workflow_flowchart.tiff</w:t>
      </w:r>
      <w:r>
        <w:t xml:space="preserve"> (submission-ready raster)</w:t>
      </w:r>
    </w:p>
    <w:p>
      <w:pPr>
        <w:pStyle w:val="ListBullet"/>
      </w:pPr>
      <w:r>
        <w:t>figures/figure00_workflow_flowchart.eps</w:t>
      </w:r>
      <w:r>
        <w:t xml:space="preserve"> (submission-ready vector)</w:t>
      </w:r>
    </w:p>
    <w:p>
      <w:pPr>
        <w:pStyle w:val="Heading3"/>
      </w:pPr>
      <w:r>
        <w:t>Infographic-style quick panel</w:t>
      </w:r>
    </w:p>
    <w:p>
      <w:r>
        <w:t>If needed, add a one-panel “study at a glance” infographic summarizing:</w:t>
      </w:r>
    </w:p>
    <w:p>
      <w:pPr>
        <w:pStyle w:val="ListBullet"/>
      </w:pPr>
      <w:r>
        <w:t>Problem context</w:t>
      </w:r>
    </w:p>
    <w:p>
      <w:pPr>
        <w:pStyle w:val="ListBullet"/>
      </w:pPr>
      <w:r>
        <w:t>Workflow contribution</w:t>
      </w:r>
    </w:p>
    <w:p>
      <w:pPr>
        <w:pStyle w:val="ListBullet"/>
      </w:pPr>
      <w:r>
        <w:t>Validation evidence anchor</w:t>
      </w:r>
    </w:p>
    <w:p>
      <w:pPr>
        <w:pStyle w:val="ListBullet"/>
      </w:pPr>
      <w:r>
        <w:t>Claim boundary statement</w:t>
      </w:r>
    </w:p>
    <w:p>
      <w:pPr>
        <w:pStyle w:val="Heading2"/>
      </w:pPr>
      <w:r>
        <w:t>Figures and visual walkthrough</w:t>
      </w:r>
    </w:p>
    <w:p>
      <w:r>
        <w:t>Figure 1. Full-page interface overview.</w:t>
      </w:r>
    </w:p>
    <w:p>
      <w:r>
        <w:t>Figure 2. Full-page model/analysis workflow view.</w:t>
      </w:r>
    </w:p>
    <w:p>
      <w:r>
        <w:t>Figure 3. Full-page results view.</w:t>
      </w:r>
    </w:p>
    <w:p>
      <w:r>
        <w:t>Figure 4. Full-page bias/sensitivity or robustness view.</w:t>
      </w:r>
    </w:p>
    <w:p>
      <w:r>
        <w:t>Figure 5. Full-page reporting/export or advanced workflow view.</w:t>
      </w:r>
    </w:p>
    <w:p>
      <w:r>
        <w:t>Additional workflow and architecture visuals are presented in-document through the visual abstract and structured tables.</w:t>
      </w:r>
    </w:p>
    <w:p>
      <w:pPr>
        <w:pStyle w:val="Heading3"/>
      </w:pPr>
      <w:r>
        <w:t>Submission figure files (separate, 300 DPI; screenshots only)</w:t>
      </w:r>
    </w:p>
    <w:p>
      <w:r>
        <w:t>Only full-page screenshots (Figures 1-5) are submitted as separate figure files.</w:t>
      </w:r>
    </w:p>
    <w:p>
      <w:pPr>
        <w:pStyle w:val="ListBullet"/>
      </w:pPr>
      <w:r>
        <w:t>figures/figure01_overview_fullpage.tiff</w:t>
      </w:r>
      <w:r>
        <w:t xml:space="preserve"> and </w:t>
      </w:r>
      <w:r>
        <w:t>figures/figure01_overview_fullpage.eps</w:t>
      </w:r>
    </w:p>
    <w:p>
      <w:pPr>
        <w:pStyle w:val="ListBullet"/>
      </w:pPr>
      <w:r>
        <w:t>figures/figure02_model_fullpage.tiff</w:t>
      </w:r>
      <w:r>
        <w:t xml:space="preserve"> and </w:t>
      </w:r>
      <w:r>
        <w:t>figures/figure02_model_fullpage.eps</w:t>
      </w:r>
    </w:p>
    <w:p>
      <w:pPr>
        <w:pStyle w:val="ListBullet"/>
      </w:pPr>
      <w:r>
        <w:t>figures/figure03_results_fullpage.tiff</w:t>
      </w:r>
      <w:r>
        <w:t xml:space="preserve"> and </w:t>
      </w:r>
      <w:r>
        <w:t>figures/figure03_results_fullpage.eps</w:t>
      </w:r>
    </w:p>
    <w:p>
      <w:pPr>
        <w:pStyle w:val="ListBullet"/>
      </w:pPr>
      <w:r>
        <w:t>figures/figure04_bias_fullpage.tiff</w:t>
      </w:r>
      <w:r>
        <w:t xml:space="preserve"> and </w:t>
      </w:r>
      <w:r>
        <w:t>figures/figure04_bias_fullpage.eps</w:t>
      </w:r>
    </w:p>
    <w:p>
      <w:pPr>
        <w:pStyle w:val="ListBullet"/>
      </w:pPr>
      <w:r>
        <w:t>figures/figure05_report_fullpage.tiff</w:t>
      </w:r>
      <w:r>
        <w:t xml:space="preserve"> and </w:t>
      </w:r>
      <w:r>
        <w:t>figures/figure05_report_fullpage.eps</w:t>
      </w:r>
    </w:p>
    <w:p>
      <w:pPr>
        <w:pStyle w:val="Heading3"/>
      </w:pPr>
      <w:r>
        <w:t>Table 3. Reproducibility and submission readiness map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Local artifact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Current status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Action before external submission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Example walkthrough dataset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dev\benchmarks\latest_frontier_gap_methods_benchmark.json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Present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Verify rerun on clean machine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Validation summary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f1000_artifacts/validation_summary.md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Present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Confirm numbers and paths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User walkthrough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f1000_artifacts/tutorial_walkthrough.md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Present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Align screenshots/captions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Repository metadata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[TO_BE_ADDED_GITHUB_OR_GITLAB_URL]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Placeholder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Replace after final tagging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DOI metadata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[TO_BE_ADDED_ZENODO_DOI]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Placeholder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Replace after Zenodo archive creation</w:t>
            </w:r>
          </w:p>
        </w:tc>
      </w:tr>
    </w:tbl>
    <w:p/>
    <w:p>
      <w:pPr>
        <w:pStyle w:val="Heading2"/>
      </w:pPr>
      <w:r>
        <w:t>Software availability</w:t>
      </w:r>
    </w:p>
    <w:p>
      <w:pPr>
        <w:pStyle w:val="ListBullet"/>
      </w:pPr>
      <w:r>
        <w:t xml:space="preserve">Local source package: </w:t>
      </w:r>
      <w:r>
        <w:t>IPD-Meta-Pro</w:t>
      </w:r>
      <w:r>
        <w:t xml:space="preserve"> under </w:t>
      </w:r>
      <w:r>
        <w:t>C:\HTML apps</w:t>
      </w:r>
      <w:r>
        <w:t>.</w:t>
      </w:r>
    </w:p>
    <w:p>
      <w:pPr>
        <w:pStyle w:val="ListBullet"/>
      </w:pPr>
      <w:r>
        <w:t xml:space="preserve">Public repository (placeholder): </w:t>
      </w:r>
      <w:r>
        <w:t>[TO_BE_ADDED_GITHUB_OR_GITLAB_URL]</w:t>
      </w:r>
    </w:p>
    <w:p>
      <w:pPr>
        <w:pStyle w:val="ListBullet"/>
      </w:pPr>
      <w:r>
        <w:t xml:space="preserve">Zenodo DOI (placeholder): </w:t>
      </w:r>
      <w:r>
        <w:t>[TO_BE_ADDED_ZENODO_DOI]</w:t>
      </w:r>
    </w:p>
    <w:p>
      <w:pPr>
        <w:pStyle w:val="ListBullet"/>
      </w:pPr>
      <w:r>
        <w:t>Version: see manuscript title and application UI version label.</w:t>
      </w:r>
    </w:p>
    <w:p>
      <w:pPr>
        <w:pStyle w:val="ListBullet"/>
      </w:pPr>
      <w:r>
        <w:t xml:space="preserve">Reproducibility walkthrough: </w:t>
      </w:r>
      <w:r>
        <w:t>f1000_artifacts/tutorial_walkthrough.md</w:t>
      </w:r>
    </w:p>
    <w:p>
      <w:pPr>
        <w:pStyle w:val="ListBullet"/>
      </w:pPr>
      <w:r>
        <w:t xml:space="preserve">Validation summary: </w:t>
      </w:r>
      <w:r>
        <w:t>f1000_artifacts/validation_summary.md</w:t>
      </w:r>
    </w:p>
    <w:p>
      <w:pPr>
        <w:pStyle w:val="ListBullet"/>
      </w:pPr>
      <w:r>
        <w:t xml:space="preserve">License: see package </w:t>
      </w:r>
      <w:r>
        <w:t>LICENSE</w:t>
      </w:r>
      <w:r>
        <w:t xml:space="preserve"> file.</w:t>
      </w:r>
    </w:p>
    <w:p>
      <w:pPr>
        <w:pStyle w:val="ListBullet"/>
      </w:pPr>
      <w:r>
        <w:t>Note: repository and DOI placeholders are intentionally retained until release archival is finalized.</w:t>
      </w:r>
    </w:p>
    <w:p>
      <w:pPr>
        <w:pStyle w:val="Heading2"/>
      </w:pPr>
      <w:r>
        <w:t>Data availability</w:t>
      </w:r>
    </w:p>
    <w:p>
      <w:r>
        <w:t xml:space="preserve">No new participant-level clinical data were generated for this software article package. Example dataset for reviewer walkthrough: </w:t>
      </w:r>
      <w:r>
        <w:t>dev\benchmarks\latest_frontier_gap_methods_benchmark.json</w:t>
      </w:r>
      <w:r>
        <w:t>. Additional project data assets, where present, remain available within the local package tree.</w:t>
      </w:r>
    </w:p>
    <w:p>
      <w:pPr>
        <w:pStyle w:val="Heading2"/>
      </w:pPr>
      <w:r>
        <w:t>Reporting guidelines</w:t>
      </w:r>
    </w:p>
    <w:p>
      <w:r>
        <w:t xml:space="preserve">Real-peer-review-aligned checklist included: </w:t>
      </w:r>
      <w:r>
        <w:t>F1000_Submission_Checklist_RealReview.md</w:t>
      </w:r>
      <w:r>
        <w:t xml:space="preserve">. This checklist directly addresses the criticisms documented in </w:t>
      </w:r>
      <w:r>
        <w:t>C:\HTML apps\reviewer Report.txt</w:t>
      </w:r>
      <w:r>
        <w:t>.</w:t>
      </w:r>
    </w:p>
    <w:p>
      <w:pPr>
        <w:pStyle w:val="Heading2"/>
      </w:pPr>
      <w:r>
        <w:t>Declarations</w:t>
      </w:r>
    </w:p>
    <w:p>
      <w:pPr>
        <w:pStyle w:val="Heading3"/>
      </w:pPr>
      <w:r>
        <w:t>Competing interests</w:t>
      </w:r>
    </w:p>
    <w:p>
      <w:r>
        <w:t>The author declares that no competing interests were disclosed.</w:t>
      </w:r>
    </w:p>
    <w:p>
      <w:pPr>
        <w:pStyle w:val="Heading3"/>
      </w:pPr>
      <w:r>
        <w:t>Grant information</w:t>
      </w:r>
    </w:p>
    <w:p>
      <w:r>
        <w:t>No specific grant was declared for this manuscript draft.</w:t>
      </w:r>
    </w:p>
    <w:p>
      <w:pPr>
        <w:pStyle w:val="Heading3"/>
      </w:pPr>
      <w:r>
        <w:t>Author contributions (CRediT)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CRediT roles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Mahmood Ahmad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Conceptualization; Software; Validation; Data curation; Writing - original draft; Writing - review and editing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Niraj Kumar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Bilaal Dar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Laiba Khan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Andrew Woo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</w:t>
            </w:r>
          </w:p>
        </w:tc>
      </w:tr>
    </w:tbl>
    <w:p/>
    <w:p>
      <w:pPr>
        <w:pStyle w:val="Heading3"/>
      </w:pPr>
      <w:r>
        <w:t>Acknowledgements</w:t>
      </w:r>
    </w:p>
    <w:p>
      <w:r>
        <w:t>The author acknowledges contributors to open statistical methods and browser-based scientific visualization ecosystems.</w:t>
      </w:r>
    </w:p>
    <w:p>
      <w:pPr>
        <w:pStyle w:val="Heading2"/>
      </w:pPr>
      <w:r>
        <w:t>References</w:t>
      </w:r>
    </w:p>
    <w:p>
      <w:r>
        <w:t>1. DerSimonian R, Laird N. Meta-analysis in clinical trials. Controlled Clinical Trials. 1986;7(3):177-188.</w:t>
      </w:r>
    </w:p>
    <w:p>
      <w:r>
        <w:t>2. Higgins JPT, Thompson SG. Quantifying heterogeneity in a meta-analysis. Statistics in Medicine. 2002;21(11):1539-1558.</w:t>
      </w:r>
    </w:p>
    <w:p>
      <w:r>
        <w:t>3. Page MJ, McKenzie JE, Bossuyt PM, et al. The PRISMA 2020 statement: an updated guideline for reporting systematic reviews. BMJ. 2021;372:n71.</w:t>
      </w:r>
    </w:p>
    <w:p>
      <w:r>
        <w:t>4. Guyatt GH, Oxman AD, Vist GE, et al. GRADE: an emerging consensus on rating quality of evidence and strength of recommendations. BMJ. 2008;336(7650):924-926.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8"/>
      </w:rPr>
      <w:t xml:space="preserve">Page </w:t>
    </w:r>
    <w:r>
      <w:rPr>
        <w:rFonts w:ascii="Calibri" w:hAnsi="Calibri"/>
        <w:color w:val="595959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mbria" w:hAnsi="Cambria"/>
        <w:color w:val="595959"/>
        <w:sz w:val="17"/>
      </w:rPr>
      <w:t>F1000 Software Tool Article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before="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0F4C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mbria" w:hAnsi="Cambria"/>
      <w:b/>
      <w:bCs/>
      <w:color w:val="0F4C7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mbria" w:hAnsi="Cambria"/>
      <w:b/>
      <w:bCs/>
      <w:color w:val="0F4C7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mbria" w:hAnsi="Cambria"/>
      <w:b/>
      <w:bCs/>
      <w:i/>
      <w:iCs/>
      <w:color w:val="0F4C7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