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IPD Meta-Analysis Pro: a browser-based platform for individual participant data meta-analysis</w:t>
      </w:r>
    </w:p>
    <w:p>
      <w:r>
        <w:t>Mahmood Ahmad [1,2], Niraj Kumar [1], Bilaal Dar [3], Laiba Khan [1], Andrew Woo [4]</w:t>
      </w:r>
    </w:p>
    <w:p>
      <w:r>
        <w:t>1. Royal Free Hospital, London, United Kingdom</w:t>
      </w:r>
    </w:p>
    <w:p>
      <w:r>
        <w:t>2. Tahir Heart Institute, Rabwah, Pakistan</w:t>
      </w:r>
    </w:p>
    <w:p>
      <w:r>
        <w:t>3. King's College London GKT School of Medical Education, London, United Kingdom</w:t>
      </w:r>
    </w:p>
    <w:p>
      <w:r>
        <w:t>4. St George's, University of London, London, United Kingdom</w:t>
      </w:r>
    </w:p>
    <w:p>
      <w:r>
        <w:t>Corresponding author: Mahmood Ahmad (mahmood726@gmail.com)</w:t>
      </w:r>
    </w:p>
    <w:p>
      <w:pPr>
        <w:pStyle w:val="Heading2"/>
      </w:pPr>
      <w:r>
        <w:t>Abstract</w:t>
      </w:r>
    </w:p>
    <w:p>
      <w:r/>
      <w:r>
        <w:rPr>
          <w:b/>
        </w:rPr>
        <w:t>Background:</w:t>
      </w:r>
      <w:r>
        <w:t xml:space="preserve"> Individual participant data (IPD) meta-analysis is the gold standard for synthesizing evidence across clinical trials, enabling patient-level subgroup analyses and more flexible modeling than aggregate data approaches. However, existing software requires proficiency in R or Stata, limiting accessibility for clinical researchers without programming expertise.</w:t>
      </w:r>
    </w:p>
    <w:p>
      <w:r/>
      <w:r>
        <w:rPr>
          <w:b/>
        </w:rPr>
        <w:t>Methods:</w:t>
      </w:r>
      <w:r>
        <w:t xml:space="preserve"> We developed IPD Meta-Analysis Pro, a browser-based platform delivered as a single 111,112-line HTML file with 23 embedded JavaScript modules. The application implements one-stage mixed-effects models and two-stage pooling with seven heterogeneity estimators (DerSimonian-Laird, restricted maximum likelihood, Paule-Mandel, maximum likelihood, Hedges, Hunter-Schmidt, and Sidik-Jonkman), Hartung-Knapp-Sidik-Jonkman confidence interval adjustment, survival analysis (Kaplan-Meier estimation, Cox proportional hazards, log-rank tests), network meta-analysis with SUCRA rankings, meta-regression, multiple imputation via chained equations, publication bias assessment, and a proof-carrying certification layer (TruthCert). All computations execute client-side using a seeded xoshiro128** pseudo-random number generator for full reproducibility. Numerical parity was validated against R packages metafor, meta, survival, and lme4 across 99 benchmark scenarios with 100% pass rate.</w:t>
      </w:r>
    </w:p>
    <w:p>
      <w:r/>
      <w:r>
        <w:rPr>
          <w:b/>
        </w:rPr>
        <w:t>Results:</w:t>
      </w:r>
      <w:r>
        <w:t xml:space="preserve"> The platform provides a complete IPD meta-analysis workflow from data import through model execution, diagnostics, GRADE assessment, PRISMA-IPD reporting, and export to PDF, Excel, CSV, and reproducible R and Stata scripts. A JSON-patch undo/redo system, federated analysis mode, and transportability analysis extend the platform beyond standard meta-analysis functionality.</w:t>
      </w:r>
    </w:p>
    <w:p>
      <w:r/>
      <w:r>
        <w:rPr>
          <w:b/>
        </w:rPr>
        <w:t>Conclusions:</w:t>
      </w:r>
      <w:r>
        <w:t xml:space="preserve"> IPD Meta-Analysis Pro lowers the technical barrier to IPD meta-analysis while maintaining statistical rigor through systematic R-validated benchmarks and deterministic computation. The tool is freely available under the MIT license.</w:t>
      </w:r>
    </w:p>
    <w:p>
      <w:r/>
      <w:r>
        <w:rPr>
          <w:b/>
        </w:rPr>
        <w:t>Keywords:</w:t>
      </w:r>
      <w:r>
        <w:t xml:space="preserve"> individual participant data, meta-analysis, survival analysis, heterogeneity, browser-based, reproducibility, GRADE</w:t>
      </w:r>
    </w:p>
    <w:p>
      <w:pPr>
        <w:pStyle w:val="Heading2"/>
      </w:pPr>
      <w:r>
        <w:t>Introduction</w:t>
      </w:r>
    </w:p>
    <w:p>
      <w:r>
        <w:t>Individual participant data (IPD) meta-analysis combines raw patient-level data from multiple studies, offering advantages over aggregate data approaches including reduced ecological bias in subgroup analyses, flexible covariate adjustment, and the ability to model patient-level treatment-covariate interactions [1,2]. IPD methods are recognized as the gold standard for evidence synthesis when source data are available [3].</w:t>
      </w:r>
    </w:p>
    <w:p>
      <w:r>
        <w:t>Despite these advantages, conducting IPD meta-analysis remains technically demanding. Researchers must choose between one-stage approaches (fitting a single mixed-effects model across all studies) and two-stage approaches (computing study-level summaries then pooling), select appropriate heterogeneity estimators, handle missing data at the participant level, and produce compliant reports [4]. Current software options require programming: R pipelines involving metafor [5], lme4 [6], and survival [7] packages, or Stata's ipdmetan command [8]. Graphical tools such as RevMan [9] and Comprehensive Meta-Analysis (CMA) [10] support aggregate data meta-analysis but lack IPD-specific features. OpenMetaAnalyst [11] provides a GUI for aggregate meta-analysis but has been discontinued.</w:t>
      </w:r>
    </w:p>
    <w:p>
      <w:r>
        <w:t>IPD Meta-Analysis Pro addresses this gap by providing a fully browser-based platform that implements the complete IPD meta-analysis pipeline without requiring software installation or programming knowledge. The application runs entirely client-side, ensuring that sensitive patient-level data never leave the user's machine. This article describes the software's implementation, statistical methods, validation against R reference implementations, and intended use cases.</w:t>
      </w:r>
    </w:p>
    <w:p>
      <w:pPr>
        <w:pStyle w:val="Heading2"/>
      </w:pPr>
      <w:r>
        <w:t>Methods</w:t>
      </w:r>
    </w:p>
    <w:p>
      <w:pPr>
        <w:pStyle w:val="Heading3"/>
      </w:pPr>
      <w:r>
        <w:t>Implementation</w:t>
      </w:r>
    </w:p>
    <w:p>
      <w:r>
        <w:t>IPD Meta-Analysis Pro is distributed as a single self-contained HTML file (111,112 lines, approximately 1.9 MB) with all CSS and JavaScript embedded for offline use. The development codebase is organized into 23 modular JavaScript files under `dev/modules/`, compiled into the single-file distribution via a Python build system (`dev/build.py`). External CDN dependencies (xlsx.js for Excel I/O, jsPDF for PDF export) are cached via the browser Cache API for offline fallback.</w:t>
      </w:r>
    </w:p>
    <w:p>
      <w:r>
        <w:t>The application architecture follows a single-page design with tabbed navigation across functional panels: data import, variable mapping, model configuration, analysis execution, results visualization, diagnostics, publication bias, network meta-analysis, GRADE assessment, and export. Application state is managed through a central `APP` object with JSON-patch-based undo/redo (RFC 6902 subset) to prevent memory exhaustion on large datasets [12].</w:t>
      </w:r>
    </w:p>
    <w:p>
      <w:r>
        <w:t>All stochastic computations use a seeded xoshiro128** pseudo-random number generator [13] that temporarily replaces `Math.random()` during analysis execution, ensuring bitwise-identical results across runs given the same seed (default: 12345). This determinism is critical for reproducibility of bootstrap confidence intervals, multiple imputation, and MCMC sampling.</w:t>
      </w:r>
    </w:p>
    <w:p>
      <w:pPr>
        <w:pStyle w:val="Heading3"/>
      </w:pPr>
      <w:r>
        <w:t>Statistical methods</w:t>
      </w:r>
    </w:p>
    <w:p>
      <w:pPr>
        <w:pStyle w:val="Heading4"/>
      </w:pPr>
      <w:r>
        <w:t>Two-stage meta-analysis</w:t>
      </w:r>
    </w:p>
    <w:p>
      <w:r>
        <w:t>The two-stage approach first computes study-level effect estimates and variances from IPD, then pools them using standard meta-analytic methods. Seven between-study variance (tau-squared) estimators are implemented:</w:t>
      </w:r>
    </w:p>
    <w:p>
      <w:r>
        <w:t xml:space="preserve">1. </w:t>
      </w:r>
      <w:r>
        <w:rPr>
          <w:b/>
        </w:rPr>
        <w:t>DerSimonian-Laird (DL):</w:t>
      </w:r>
      <w:r>
        <w:t xml:space="preserve"> method-of-moments estimator [14]</w:t>
      </w:r>
    </w:p>
    <w:p>
      <w:r>
        <w:t xml:space="preserve">2. </w:t>
      </w:r>
      <w:r>
        <w:rPr>
          <w:b/>
        </w:rPr>
        <w:t>Restricted maximum likelihood (REML):</w:t>
      </w:r>
      <w:r>
        <w:t xml:space="preserve"> iterative Fisher scoring with REML criterion [5]</w:t>
      </w:r>
    </w:p>
    <w:p>
      <w:r>
        <w:t xml:space="preserve">3. </w:t>
      </w:r>
      <w:r>
        <w:rPr>
          <w:b/>
        </w:rPr>
        <w:t>Paule-Mandel (PM):</w:t>
      </w:r>
      <w:r>
        <w:t xml:space="preserve"> iterative estimator with improved small-sample properties [15]</w:t>
      </w:r>
    </w:p>
    <w:p>
      <w:r>
        <w:t xml:space="preserve">4. </w:t>
      </w:r>
      <w:r>
        <w:rPr>
          <w:b/>
        </w:rPr>
        <w:t>Maximum likelihood (ML):</w:t>
      </w:r>
      <w:r>
        <w:t xml:space="preserve"> profile likelihood optimization [5]</w:t>
      </w:r>
    </w:p>
    <w:p>
      <w:r>
        <w:t xml:space="preserve">5. </w:t>
      </w:r>
      <w:r>
        <w:rPr>
          <w:b/>
        </w:rPr>
        <w:t>Hedges (HE):</w:t>
      </w:r>
      <w:r>
        <w:t xml:space="preserve"> unweighted estimator based on study-level residuals [16]</w:t>
      </w:r>
    </w:p>
    <w:p>
      <w:r>
        <w:t xml:space="preserve">6. </w:t>
      </w:r>
      <w:r>
        <w:rPr>
          <w:b/>
        </w:rPr>
        <w:t>Hunter-Schmidt (HS):</w:t>
      </w:r>
      <w:r>
        <w:t xml:space="preserve"> variance-component estimator from psychometric tradition [17]</w:t>
      </w:r>
    </w:p>
    <w:p>
      <w:r>
        <w:t xml:space="preserve">7. </w:t>
      </w:r>
      <w:r>
        <w:rPr>
          <w:b/>
        </w:rPr>
        <w:t>Sidik-Jonkman (SJ):</w:t>
      </w:r>
      <w:r>
        <w:t xml:space="preserve"> iterative estimator with non-zero initial value [18]</w:t>
      </w:r>
    </w:p>
    <w:p>
      <w:r>
        <w:t>The Hartung-Knapp-Sidik-Jonkman (HKSJ) adjustment is available for all estimators, replacing the normal-based confidence interval with a t-distribution-based interval that provides better coverage when the number of studies is small [19]. Prediction intervals are computed using the approach of IntHout et al. [20].</w:t>
      </w:r>
    </w:p>
    <w:p>
      <w:r>
        <w:t>Fixed-effect models use inverse-variance weighting. Cochran's Q statistic, I-squared, H-squared, and tau-squared with Q-profile confidence intervals quantify heterogeneity. Subgroup analysis with interaction tests and meta-regression (mixed-effects models with study-level covariates) are supported.</w:t>
      </w:r>
    </w:p>
    <w:p>
      <w:pPr>
        <w:pStyle w:val="Heading4"/>
      </w:pPr>
      <w:r>
        <w:t>One-stage meta-analysis</w:t>
      </w:r>
    </w:p>
    <w:p>
      <w:r>
        <w:t>The one-stage approach fits a single mixed-effects model to all IPD simultaneously. For binary outcomes, a logistic model with random study intercepts is used:</w:t>
      </w:r>
    </w:p>
    <w:p>
      <w:r>
        <w:t>logit P(Y_ij = 1) = alpha_i + beta * T_ij + gamma' * X_ij</w:t>
      </w:r>
    </w:p>
    <w:p>
      <w:r>
        <w:t>where alpha_i ~ N(alpha, tau-squared) are study-specific intercepts, T_ij is the treatment indicator, and X_ij are participant-level covariates. For continuous outcomes, a linear mixed-effects model is fitted. The platform provides a decision aid that recommends one-stage versus two-stage based on data characteristics (treatment-covariate interactions, rare events, study size heterogeneity).</w:t>
      </w:r>
    </w:p>
    <w:p>
      <w:pPr>
        <w:pStyle w:val="Heading4"/>
      </w:pPr>
      <w:r>
        <w:t>Survival analysis</w:t>
      </w:r>
    </w:p>
    <w:p>
      <w:r>
        <w:t>Time-to-event analyses include Kaplan-Meier estimation with Greenwood standard errors and confidence intervals, the log-rank test for comparing survival curves, and Cox proportional hazards regression for estimating hazard ratios with covariate adjustment. Hazard ratios from individual studies are pooled on the log scale using the two-stage approach. Additional survival methods include restricted mean survival time (RMST) analysis, piecewise exponential models, frailty models, accelerated failure time models, landmark analysis, cure models, and competing risks regression.</w:t>
      </w:r>
    </w:p>
    <w:p>
      <w:pPr>
        <w:pStyle w:val="Heading4"/>
      </w:pPr>
      <w:r>
        <w:t>Network meta-analysis</w:t>
      </w:r>
    </w:p>
    <w:p>
      <w:r>
        <w:t>A frequentist network meta-analysis module implements indirect treatment comparisons, consistency models, and treatment rankings via the surface under the cumulative ranking curve (SUCRA) [21]. Component NMA and network meta-regression extend the basic framework. This module is intended as a secondary feature for exploratory analyses.</w:t>
      </w:r>
    </w:p>
    <w:p>
      <w:pPr>
        <w:pStyle w:val="Heading4"/>
      </w:pPr>
      <w:r>
        <w:t>Bayesian MCMC</w:t>
      </w:r>
    </w:p>
    <w:p>
      <w:r>
        <w:t>A Metropolis-Hastings sampler provides Bayesian random-effects meta-analysis with configurable priors on the overall effect (normal) and between-study standard deviation (half-normal, half-Cauchy, uniform). Convergence diagnostics include the Gelman-Rubin R-hat statistic, effective sample size, and Geweke's test. Multi-chain sampling is supported. This module is present but not the primary analysis pathway.</w:t>
      </w:r>
    </w:p>
    <w:p>
      <w:pPr>
        <w:pStyle w:val="Heading4"/>
      </w:pPr>
      <w:r>
        <w:t>Missing data</w:t>
      </w:r>
    </w:p>
    <w:p>
      <w:r>
        <w:t>Multiple imputation by chained equations (MICE) with predictive mean matching handles missing covariate data at the participant level [22]. The default is m = 5 imputations, with pooling via Rubin's rules.</w:t>
      </w:r>
    </w:p>
    <w:p>
      <w:pPr>
        <w:pStyle w:val="Heading4"/>
      </w:pPr>
      <w:r>
        <w:t>Publication bias</w:t>
      </w:r>
    </w:p>
    <w:p>
      <w:r>
        <w:t>Egger's regression test [23], Begg's rank correlation test [24], and Duval and Tweedie's trim-and-fill method [25] are implemented. Funnel plots with pseudo-95% confidence limits are generated. Following current guidance, all publication bias assessments are explicitly labeled as exploratory, and small-study-count limitations are flagged when fewer than 10 studies are available [26].</w:t>
      </w:r>
    </w:p>
    <w:p>
      <w:pPr>
        <w:pStyle w:val="Heading4"/>
      </w:pPr>
      <w:r>
        <w:t>Additional features</w:t>
      </w:r>
    </w:p>
    <w:p>
      <w:pPr>
        <w:pStyle w:val="ListBullet"/>
      </w:pPr>
      <w:r>
        <w:rPr>
          <w:b/>
        </w:rPr>
        <w:t>GRADE assessment:</w:t>
      </w:r>
      <w:r>
        <w:t xml:space="preserve"> Structured evaluation of certainty of evidence across five domains with automated downgrading suggestions [27].</w:t>
      </w:r>
    </w:p>
    <w:p>
      <w:pPr>
        <w:pStyle w:val="ListBullet"/>
      </w:pPr>
      <w:r>
        <w:rPr>
          <w:b/>
        </w:rPr>
        <w:t>PRISMA-IPD checklist:</w:t>
      </w:r>
      <w:r>
        <w:t xml:space="preserve"> Interactive completion tracking for the 27-item PRISMA-IPD reporting guideline [28].</w:t>
      </w:r>
    </w:p>
    <w:p>
      <w:pPr>
        <w:pStyle w:val="ListBullet"/>
      </w:pPr>
      <w:r>
        <w:rPr>
          <w:b/>
        </w:rPr>
        <w:t>Risk of bias:</w:t>
      </w:r>
      <w:r>
        <w:t xml:space="preserve"> Cochrane Risk of Bias 2.0 assessment with traffic-light visualization [29].</w:t>
      </w:r>
    </w:p>
    <w:p>
      <w:pPr>
        <w:pStyle w:val="ListBullet"/>
      </w:pPr>
      <w:r>
        <w:rPr>
          <w:b/>
        </w:rPr>
        <w:t>Transportability analysis:</w:t>
      </w:r>
      <w:r>
        <w:t xml:space="preserve"> Inverse odds weighting to estimate target-population average treatment effects from trial IPD [30].</w:t>
      </w:r>
    </w:p>
    <w:p>
      <w:pPr>
        <w:pStyle w:val="ListBullet"/>
      </w:pPr>
      <w:r>
        <w:rPr>
          <w:b/>
        </w:rPr>
        <w:t>Federated analysis:</w:t>
      </w:r>
      <w:r>
        <w:t xml:space="preserve"> Simulated federated meta-analysis where summary statistics are exchanged without sharing raw data.</w:t>
      </w:r>
    </w:p>
    <w:p>
      <w:pPr>
        <w:pStyle w:val="ListBullet"/>
      </w:pPr>
      <w:r>
        <w:rPr>
          <w:b/>
        </w:rPr>
        <w:t>Meta-CART:</w:t>
      </w:r>
      <w:r>
        <w:t xml:space="preserve"> Classification and regression tree analysis for identifying moderator subgroups [31].</w:t>
      </w:r>
    </w:p>
    <w:p>
      <w:pPr>
        <w:pStyle w:val="ListBullet"/>
      </w:pPr>
      <w:r>
        <w:rPr>
          <w:b/>
        </w:rPr>
        <w:t>Random forest:</w:t>
      </w:r>
      <w:r>
        <w:t xml:space="preserve"> Bootstrap-aggregated ensemble with permutation-based variable importance.</w:t>
      </w:r>
    </w:p>
    <w:p>
      <w:pPr>
        <w:pStyle w:val="ListBullet"/>
      </w:pPr>
      <w:r>
        <w:rPr>
          <w:b/>
        </w:rPr>
        <w:t>TruthCert:</w:t>
      </w:r>
      <w:r>
        <w:t xml:space="preserve"> A proof-carrying certification layer that hashes input data (SHA-256), records analysis provenance, runs automated validators, and exports auditable JSON bundles with PASS/WARN/REJECT/BLOCK status [12].</w:t>
      </w:r>
    </w:p>
    <w:p>
      <w:pPr>
        <w:pStyle w:val="ListBullet"/>
      </w:pPr>
      <w:r>
        <w:rPr>
          <w:b/>
        </w:rPr>
        <w:t>Sensitivity analysis:</w:t>
      </w:r>
      <w:r>
        <w:t xml:space="preserve"> Leave-one-out influence diagnostics, estimator sensitivity across all seven tau-squared methods, and configurable robustness panels.</w:t>
      </w:r>
    </w:p>
    <w:p>
      <w:pPr>
        <w:pStyle w:val="Heading3"/>
      </w:pPr>
      <w:r>
        <w:t>Validation</w:t>
      </w:r>
    </w:p>
    <w:p>
      <w:r>
        <w:t>Numerical accuracy was validated against R packages metafor 4.8-0 [5], meta 7.0-0 [32], survival 3.5-7 [7], and lme4 1.1-35 [6] using automated parity gates. The validation suite comprises 99 benchmark rows across nine domains: two-stage pooling (42 scenarios), one-stage models (8 scenarios), gap methods (8 scenarios), extended survival (16 scenarios), advanced survival (6 scenarios), frontier methods (10 scenarios), simulation lab (3 scenarios), and publication replication (6 scenarios). All domains achieved 100% pass rates with maximum absolute differences of zero against R reference values, verified by the parity gate artifact dated 2026-03-12. Determinism was confirmed by verifying that repeat runs with seed 12345 produce zero-difference outputs across all benchmark scenarios.</w:t>
      </w:r>
    </w:p>
    <w:p>
      <w:pPr>
        <w:pStyle w:val="Heading3"/>
      </w:pPr>
      <w:r>
        <w:t>Operation</w:t>
      </w:r>
    </w:p>
    <w:p>
      <w:r>
        <w:t>1. Open `ipd-meta-pro.html` in any modern browser (Chrome, Firefox, Edge, Safari).</w:t>
      </w:r>
    </w:p>
    <w:p>
      <w:r>
        <w:t>2. Import IPD as CSV or Excel, or load a built-in example dataset.</w:t>
      </w:r>
    </w:p>
    <w:p>
      <w:r>
        <w:t>3. Map variables: study identifier, treatment indicator, outcome, time/event (for survival), and covariates.</w:t>
      </w:r>
    </w:p>
    <w:p>
      <w:r>
        <w:t>4. Select analysis approach (one-stage or two-stage), effect measure, and heterogeneity estimator.</w:t>
      </w:r>
    </w:p>
    <w:p>
      <w:r>
        <w:t>5. Execute analysis. Review forest plots, funnel plots, heterogeneity diagnostics, influence analyses, and GRADE assessments.</w:t>
      </w:r>
    </w:p>
    <w:p>
      <w:r>
        <w:t>6. Export results as PDF report, Excel workbook, CSV, reproducible R script, or Stata do-file. Optionally export a TruthCert bundle for audit.</w:t>
      </w:r>
    </w:p>
    <w:p>
      <w:pPr>
        <w:pStyle w:val="Heading2"/>
      </w:pPr>
      <w:r>
        <w:t>Results</w:t>
      </w:r>
    </w:p>
    <w:p>
      <w:pPr>
        <w:pStyle w:val="Heading3"/>
      </w:pPr>
      <w:r>
        <w:t>Feature comparison</w:t>
      </w:r>
    </w:p>
    <w:p>
      <w:r>
        <w:t>Table 1 compares IPD Meta-Analysis Pro with existing tools for IPD and aggregate data meta-analysis.</w:t>
      </w:r>
    </w:p>
    <w:p>
      <w:r/>
      <w:r>
        <w:rPr>
          <w:b/>
        </w:rPr>
        <w:t>Table 1. Feature comparison across meta-analysis software platforms.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IPD Meta-Analysis Pro</w:t>
            </w:r>
          </w:p>
        </w:tc>
        <w:tc>
          <w:tcPr>
            <w:tcW w:type="dxa" w:w="1440"/>
          </w:tcPr>
          <w:p>
            <w:r>
              <w:t>R (metafor + lme4)</w:t>
            </w:r>
          </w:p>
        </w:tc>
        <w:tc>
          <w:tcPr>
            <w:tcW w:type="dxa" w:w="1440"/>
          </w:tcPr>
          <w:p>
            <w:r>
              <w:t>Stata (ipdmetan)</w:t>
            </w:r>
          </w:p>
        </w:tc>
        <w:tc>
          <w:tcPr>
            <w:tcW w:type="dxa" w:w="1440"/>
          </w:tcPr>
          <w:p>
            <w:r>
              <w:t>RevMan 5</w:t>
            </w:r>
          </w:p>
        </w:tc>
        <w:tc>
          <w:tcPr>
            <w:tcW w:type="dxa" w:w="1440"/>
          </w:tcPr>
          <w:p>
            <w:r>
              <w:t>OpenMetaAnalyst</w:t>
            </w:r>
          </w:p>
        </w:tc>
      </w:tr>
      <w:tr>
        <w:tc>
          <w:tcPr>
            <w:tcW w:type="dxa" w:w="1440"/>
          </w:tcPr>
          <w:p>
            <w:r>
              <w:t>IPD one-stage models</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IPD two-stage models</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Survival analysis (KM, Cox)</w:t>
            </w:r>
          </w:p>
        </w:tc>
        <w:tc>
          <w:tcPr>
            <w:tcW w:type="dxa" w:w="1440"/>
          </w:tcPr>
          <w:p>
            <w:r>
              <w:t>Yes</w:t>
            </w:r>
          </w:p>
        </w:tc>
        <w:tc>
          <w:tcPr>
            <w:tcW w:type="dxa" w:w="1440"/>
          </w:tcPr>
          <w:p>
            <w:r>
              <w:t>Yes (survival pkg)</w:t>
            </w:r>
          </w:p>
        </w:tc>
        <w:tc>
          <w:tcPr>
            <w:tcW w:type="dxa" w:w="1440"/>
          </w:tcPr>
          <w:p>
            <w:r>
              <w:t>Yes</w:t>
            </w:r>
          </w:p>
        </w:tc>
        <w:tc>
          <w:tcPr>
            <w:tcW w:type="dxa" w:w="1440"/>
          </w:tcPr>
          <w:p>
            <w:r>
              <w:t>No</w:t>
            </w:r>
          </w:p>
        </w:tc>
        <w:tc>
          <w:tcPr>
            <w:tcW w:type="dxa" w:w="1440"/>
          </w:tcPr>
          <w:p>
            <w:r>
              <w:t>No</w:t>
            </w:r>
          </w:p>
        </w:tc>
      </w:tr>
      <w:tr>
        <w:tc>
          <w:tcPr>
            <w:tcW w:type="dxa" w:w="1440"/>
          </w:tcPr>
          <w:p>
            <w:r>
              <w:t>Tau-squared estimators</w:t>
            </w:r>
          </w:p>
        </w:tc>
        <w:tc>
          <w:tcPr>
            <w:tcW w:type="dxa" w:w="1440"/>
          </w:tcPr>
          <w:p>
            <w:r>
              <w:t>7 (DL, REML, PM, ML, HE, HS, SJ)</w:t>
            </w:r>
          </w:p>
        </w:tc>
        <w:tc>
          <w:tcPr>
            <w:tcW w:type="dxa" w:w="1440"/>
          </w:tcPr>
          <w:p>
            <w:r>
              <w:t>12+</w:t>
            </w:r>
          </w:p>
        </w:tc>
        <w:tc>
          <w:tcPr>
            <w:tcW w:type="dxa" w:w="1440"/>
          </w:tcPr>
          <w:p>
            <w:r>
              <w:t>DL, REML</w:t>
            </w:r>
          </w:p>
        </w:tc>
        <w:tc>
          <w:tcPr>
            <w:tcW w:type="dxa" w:w="1440"/>
          </w:tcPr>
          <w:p>
            <w:r>
              <w:t>DL only</w:t>
            </w:r>
          </w:p>
        </w:tc>
        <w:tc>
          <w:tcPr>
            <w:tcW w:type="dxa" w:w="1440"/>
          </w:tcPr>
          <w:p>
            <w:r>
              <w:t>DL, REML</w:t>
            </w:r>
          </w:p>
        </w:tc>
      </w:tr>
      <w:tr>
        <w:tc>
          <w:tcPr>
            <w:tcW w:type="dxa" w:w="1440"/>
          </w:tcPr>
          <w:p>
            <w:r>
              <w:t>HKSJ adjustment</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Network meta-analysis</w:t>
            </w:r>
          </w:p>
        </w:tc>
        <w:tc>
          <w:tcPr>
            <w:tcW w:type="dxa" w:w="1440"/>
          </w:tcPr>
          <w:p>
            <w:r>
              <w:t>Basic</w:t>
            </w:r>
          </w:p>
        </w:tc>
        <w:tc>
          <w:tcPr>
            <w:tcW w:type="dxa" w:w="1440"/>
          </w:tcPr>
          <w:p>
            <w:r>
              <w:t>Yes (netmeta)</w:t>
            </w:r>
          </w:p>
        </w:tc>
        <w:tc>
          <w:tcPr>
            <w:tcW w:type="dxa" w:w="1440"/>
          </w:tcPr>
          <w:p>
            <w:r>
              <w:t>Yes (network)</w:t>
            </w:r>
          </w:p>
        </w:tc>
        <w:tc>
          <w:tcPr>
            <w:tcW w:type="dxa" w:w="1440"/>
          </w:tcPr>
          <w:p>
            <w:r>
              <w:t>No</w:t>
            </w:r>
          </w:p>
        </w:tc>
        <w:tc>
          <w:tcPr>
            <w:tcW w:type="dxa" w:w="1440"/>
          </w:tcPr>
          <w:p>
            <w:r>
              <w:t>No</w:t>
            </w:r>
          </w:p>
        </w:tc>
      </w:tr>
      <w:tr>
        <w:tc>
          <w:tcPr>
            <w:tcW w:type="dxa" w:w="1440"/>
          </w:tcPr>
          <w:p>
            <w:r>
              <w:t>Meta-regression</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Multiple imputation (MICE)</w:t>
            </w:r>
          </w:p>
        </w:tc>
        <w:tc>
          <w:tcPr>
            <w:tcW w:type="dxa" w:w="1440"/>
          </w:tcPr>
          <w:p>
            <w:r>
              <w:t>Yes</w:t>
            </w:r>
          </w:p>
        </w:tc>
        <w:tc>
          <w:tcPr>
            <w:tcW w:type="dxa" w:w="1440"/>
          </w:tcPr>
          <w:p>
            <w:r>
              <w:t>Yes (mice pkg)</w:t>
            </w:r>
          </w:p>
        </w:tc>
        <w:tc>
          <w:tcPr>
            <w:tcW w:type="dxa" w:w="1440"/>
          </w:tcPr>
          <w:p>
            <w:r>
              <w:t>Yes (mi)</w:t>
            </w:r>
          </w:p>
        </w:tc>
        <w:tc>
          <w:tcPr>
            <w:tcW w:type="dxa" w:w="1440"/>
          </w:tcPr>
          <w:p>
            <w:r>
              <w:t>No</w:t>
            </w:r>
          </w:p>
        </w:tc>
        <w:tc>
          <w:tcPr>
            <w:tcW w:type="dxa" w:w="1440"/>
          </w:tcPr>
          <w:p>
            <w:r>
              <w:t>No</w:t>
            </w:r>
          </w:p>
        </w:tc>
      </w:tr>
      <w:tr>
        <w:tc>
          <w:tcPr>
            <w:tcW w:type="dxa" w:w="1440"/>
          </w:tcPr>
          <w:p>
            <w:r>
              <w:t>Publication bias tests</w:t>
            </w:r>
          </w:p>
        </w:tc>
        <w:tc>
          <w:tcPr>
            <w:tcW w:type="dxa" w:w="1440"/>
          </w:tcPr>
          <w:p>
            <w:r>
              <w:t>Egger, Begg, trim-fill</w:t>
            </w:r>
          </w:p>
        </w:tc>
        <w:tc>
          <w:tcPr>
            <w:tcW w:type="dxa" w:w="1440"/>
          </w:tcPr>
          <w:p>
            <w:r>
              <w:t>Egger, Begg, trim-fill, selection models</w:t>
            </w:r>
          </w:p>
        </w:tc>
        <w:tc>
          <w:tcPr>
            <w:tcW w:type="dxa" w:w="1440"/>
          </w:tcPr>
          <w:p>
            <w:r>
              <w:t>Egger, Begg, trim-fill</w:t>
            </w:r>
          </w:p>
        </w:tc>
        <w:tc>
          <w:tcPr>
            <w:tcW w:type="dxa" w:w="1440"/>
          </w:tcPr>
          <w:p>
            <w:r>
              <w:t>Funnel plot only</w:t>
            </w:r>
          </w:p>
        </w:tc>
        <w:tc>
          <w:tcPr>
            <w:tcW w:type="dxa" w:w="1440"/>
          </w:tcPr>
          <w:p>
            <w:r>
              <w:t>Egger</w:t>
            </w:r>
          </w:p>
        </w:tc>
      </w:tr>
      <w:tr>
        <w:tc>
          <w:tcPr>
            <w:tcW w:type="dxa" w:w="1440"/>
          </w:tcPr>
          <w:p>
            <w:r>
              <w:t>GRADE assessment</w:t>
            </w:r>
          </w:p>
        </w:tc>
        <w:tc>
          <w:tcPr>
            <w:tcW w:type="dxa" w:w="1440"/>
          </w:tcPr>
          <w:p>
            <w:r>
              <w:t>Structured</w:t>
            </w:r>
          </w:p>
        </w:tc>
        <w:tc>
          <w:tcPr>
            <w:tcW w:type="dxa" w:w="1440"/>
          </w:tcPr>
          <w:p>
            <w:r>
              <w:t>Manual</w:t>
            </w:r>
          </w:p>
        </w:tc>
        <w:tc>
          <w:tcPr>
            <w:tcW w:type="dxa" w:w="1440"/>
          </w:tcPr>
          <w:p>
            <w:r>
              <w:t>Manual</w:t>
            </w:r>
          </w:p>
        </w:tc>
        <w:tc>
          <w:tcPr>
            <w:tcW w:type="dxa" w:w="1440"/>
          </w:tcPr>
          <w:p>
            <w:r>
              <w:t>Basic</w:t>
            </w:r>
          </w:p>
        </w:tc>
        <w:tc>
          <w:tcPr>
            <w:tcW w:type="dxa" w:w="1440"/>
          </w:tcPr>
          <w:p>
            <w:r>
              <w:t>No</w:t>
            </w:r>
          </w:p>
        </w:tc>
      </w:tr>
      <w:tr>
        <w:tc>
          <w:tcPr>
            <w:tcW w:type="dxa" w:w="1440"/>
          </w:tcPr>
          <w:p>
            <w:r>
              <w:t>PRISMA-IPD checklist</w:t>
            </w:r>
          </w:p>
        </w:tc>
        <w:tc>
          <w:tcPr>
            <w:tcW w:type="dxa" w:w="1440"/>
          </w:tcPr>
          <w:p>
            <w:r>
              <w:t>Interactive</w:t>
            </w:r>
          </w:p>
        </w:tc>
        <w:tc>
          <w:tcPr>
            <w:tcW w:type="dxa" w:w="1440"/>
          </w:tcPr>
          <w:p>
            <w:r>
              <w:t>Manual</w:t>
            </w:r>
          </w:p>
        </w:tc>
        <w:tc>
          <w:tcPr>
            <w:tcW w:type="dxa" w:w="1440"/>
          </w:tcPr>
          <w:p>
            <w:r>
              <w:t>Manual</w:t>
            </w:r>
          </w:p>
        </w:tc>
        <w:tc>
          <w:tcPr>
            <w:tcW w:type="dxa" w:w="1440"/>
          </w:tcPr>
          <w:p>
            <w:r>
              <w:t>PRISMA (not IPD)</w:t>
            </w:r>
          </w:p>
        </w:tc>
        <w:tc>
          <w:tcPr>
            <w:tcW w:type="dxa" w:w="1440"/>
          </w:tcPr>
          <w:p>
            <w:r>
              <w:t>No</w:t>
            </w:r>
          </w:p>
        </w:tc>
      </w:tr>
      <w:tr>
        <w:tc>
          <w:tcPr>
            <w:tcW w:type="dxa" w:w="1440"/>
          </w:tcPr>
          <w:p>
            <w:r>
              <w:t>Bayesian MCMC</w:t>
            </w:r>
          </w:p>
        </w:tc>
        <w:tc>
          <w:tcPr>
            <w:tcW w:type="dxa" w:w="1440"/>
          </w:tcPr>
          <w:p>
            <w:r>
              <w:t>Basic (Metropolis-Hastings)</w:t>
            </w:r>
          </w:p>
        </w:tc>
        <w:tc>
          <w:tcPr>
            <w:tcW w:type="dxa" w:w="1440"/>
          </w:tcPr>
          <w:p>
            <w:r>
              <w:t>Yes (brms, bayesmeta)</w:t>
            </w:r>
          </w:p>
        </w:tc>
        <w:tc>
          <w:tcPr>
            <w:tcW w:type="dxa" w:w="1440"/>
          </w:tcPr>
          <w:p>
            <w:r>
              <w:t>Yes (bayesmh)</w:t>
            </w:r>
          </w:p>
        </w:tc>
        <w:tc>
          <w:tcPr>
            <w:tcW w:type="dxa" w:w="1440"/>
          </w:tcPr>
          <w:p>
            <w:r>
              <w:t>No</w:t>
            </w:r>
          </w:p>
        </w:tc>
        <w:tc>
          <w:tcPr>
            <w:tcW w:type="dxa" w:w="1440"/>
          </w:tcPr>
          <w:p>
            <w:r>
              <w:t>No</w:t>
            </w:r>
          </w:p>
        </w:tc>
      </w:tr>
      <w:tr>
        <w:tc>
          <w:tcPr>
            <w:tcW w:type="dxa" w:w="1440"/>
          </w:tcPr>
          <w:p>
            <w:r>
              <w:t>Seeded PRNG (deterministic)</w:t>
            </w:r>
          </w:p>
        </w:tc>
        <w:tc>
          <w:tcPr>
            <w:tcW w:type="dxa" w:w="1440"/>
          </w:tcPr>
          <w:p>
            <w:r>
              <w:t>Yes (xoshiro128**)</w:t>
            </w:r>
          </w:p>
        </w:tc>
        <w:tc>
          <w:tcPr>
            <w:tcW w:type="dxa" w:w="1440"/>
          </w:tcPr>
          <w:p>
            <w:r>
              <w:t>Yes (set.seed)</w:t>
            </w:r>
          </w:p>
        </w:tc>
        <w:tc>
          <w:tcPr>
            <w:tcW w:type="dxa" w:w="1440"/>
          </w:tcPr>
          <w:p>
            <w:r>
              <w:t>Yes (set seed)</w:t>
            </w:r>
          </w:p>
        </w:tc>
        <w:tc>
          <w:tcPr>
            <w:tcW w:type="dxa" w:w="1440"/>
          </w:tcPr>
          <w:p>
            <w:r>
              <w:t>N/A</w:t>
            </w:r>
          </w:p>
        </w:tc>
        <w:tc>
          <w:tcPr>
            <w:tcW w:type="dxa" w:w="1440"/>
          </w:tcPr>
          <w:p>
            <w:r>
              <w:t>N/A</w:t>
            </w:r>
          </w:p>
        </w:tc>
      </w:tr>
      <w:tr>
        <w:tc>
          <w:tcPr>
            <w:tcW w:type="dxa" w:w="1440"/>
          </w:tcPr>
          <w:p>
            <w:r>
              <w:t>Undo/redo</w:t>
            </w:r>
          </w:p>
        </w:tc>
        <w:tc>
          <w:tcPr>
            <w:tcW w:type="dxa" w:w="1440"/>
          </w:tcPr>
          <w:p>
            <w:r>
              <w:t>JSON-patch</w:t>
            </w:r>
          </w:p>
        </w:tc>
        <w:tc>
          <w:tcPr>
            <w:tcW w:type="dxa" w:w="1440"/>
          </w:tcPr>
          <w:p>
            <w:r>
              <w:t>N/A (script-based)</w:t>
            </w:r>
          </w:p>
        </w:tc>
        <w:tc>
          <w:tcPr>
            <w:tcW w:type="dxa" w:w="1440"/>
          </w:tcPr>
          <w:p>
            <w:r>
              <w:t>N/A</w:t>
            </w:r>
          </w:p>
        </w:tc>
        <w:tc>
          <w:tcPr>
            <w:tcW w:type="dxa" w:w="1440"/>
          </w:tcPr>
          <w:p>
            <w:r>
              <w:t>Limited</w:t>
            </w:r>
          </w:p>
        </w:tc>
        <w:tc>
          <w:tcPr>
            <w:tcW w:type="dxa" w:w="1440"/>
          </w:tcPr>
          <w:p>
            <w:r>
              <w:t>No</w:t>
            </w:r>
          </w:p>
        </w:tc>
      </w:tr>
      <w:tr>
        <w:tc>
          <w:tcPr>
            <w:tcW w:type="dxa" w:w="1440"/>
          </w:tcPr>
          <w:p>
            <w:r>
              <w:t>TruthCert bundles</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Export formats</w:t>
            </w:r>
          </w:p>
        </w:tc>
        <w:tc>
          <w:tcPr>
            <w:tcW w:type="dxa" w:w="1440"/>
          </w:tcPr>
          <w:p>
            <w:r>
              <w:t>PDF, Excel, CSV, R, Stata</w:t>
            </w:r>
          </w:p>
        </w:tc>
        <w:tc>
          <w:tcPr>
            <w:tcW w:type="dxa" w:w="1440"/>
          </w:tcPr>
          <w:p>
            <w:r>
              <w:t>R objects, CSV</w:t>
            </w:r>
          </w:p>
        </w:tc>
        <w:tc>
          <w:tcPr>
            <w:tcW w:type="dxa" w:w="1440"/>
          </w:tcPr>
          <w:p>
            <w:r>
              <w:t>Stata datasets</w:t>
            </w:r>
          </w:p>
        </w:tc>
        <w:tc>
          <w:tcPr>
            <w:tcW w:type="dxa" w:w="1440"/>
          </w:tcPr>
          <w:p>
            <w:r>
              <w:t>PDF, CSV</w:t>
            </w:r>
          </w:p>
        </w:tc>
        <w:tc>
          <w:tcPr>
            <w:tcW w:type="dxa" w:w="1440"/>
          </w:tcPr>
          <w:p>
            <w:r>
              <w:t>CSV</w:t>
            </w:r>
          </w:p>
        </w:tc>
      </w:tr>
      <w:tr>
        <w:tc>
          <w:tcPr>
            <w:tcW w:type="dxa" w:w="1440"/>
          </w:tcPr>
          <w:p>
            <w:r>
              <w:t>Installation required</w:t>
            </w:r>
          </w:p>
        </w:tc>
        <w:tc>
          <w:tcPr>
            <w:tcW w:type="dxa" w:w="1440"/>
          </w:tcPr>
          <w:p>
            <w:r>
              <w:t>None (browser)</w:t>
            </w:r>
          </w:p>
        </w:tc>
        <w:tc>
          <w:tcPr>
            <w:tcW w:type="dxa" w:w="1440"/>
          </w:tcPr>
          <w:p>
            <w:r>
              <w:t>R + packages</w:t>
            </w:r>
          </w:p>
        </w:tc>
        <w:tc>
          <w:tcPr>
            <w:tcW w:type="dxa" w:w="1440"/>
          </w:tcPr>
          <w:p>
            <w:r>
              <w:t>Stata license</w:t>
            </w:r>
          </w:p>
        </w:tc>
        <w:tc>
          <w:tcPr>
            <w:tcW w:type="dxa" w:w="1440"/>
          </w:tcPr>
          <w:p>
            <w:r>
              <w:t>Installer</w:t>
            </w:r>
          </w:p>
        </w:tc>
        <w:tc>
          <w:tcPr>
            <w:tcW w:type="dxa" w:w="1440"/>
          </w:tcPr>
          <w:p>
            <w:r>
              <w:t>Installer</w:t>
            </w:r>
          </w:p>
        </w:tc>
      </w:tr>
      <w:tr>
        <w:tc>
          <w:tcPr>
            <w:tcW w:type="dxa" w:w="1440"/>
          </w:tcPr>
          <w:p>
            <w:r>
              <w:t>Data privacy</w:t>
            </w:r>
          </w:p>
        </w:tc>
        <w:tc>
          <w:tcPr>
            <w:tcW w:type="dxa" w:w="1440"/>
          </w:tcPr>
          <w:p>
            <w:r>
              <w:t>Client-side only</w:t>
            </w:r>
          </w:p>
        </w:tc>
        <w:tc>
          <w:tcPr>
            <w:tcW w:type="dxa" w:w="1440"/>
          </w:tcPr>
          <w:p>
            <w:r>
              <w:t>Local</w:t>
            </w:r>
          </w:p>
        </w:tc>
        <w:tc>
          <w:tcPr>
            <w:tcW w:type="dxa" w:w="1440"/>
          </w:tcPr>
          <w:p>
            <w:r>
              <w:t>Local</w:t>
            </w:r>
          </w:p>
        </w:tc>
        <w:tc>
          <w:tcPr>
            <w:tcW w:type="dxa" w:w="1440"/>
          </w:tcPr>
          <w:p>
            <w:r>
              <w:t>Local</w:t>
            </w:r>
          </w:p>
        </w:tc>
        <w:tc>
          <w:tcPr>
            <w:tcW w:type="dxa" w:w="1440"/>
          </w:tcPr>
          <w:p>
            <w:r>
              <w:t>Local</w:t>
            </w:r>
          </w:p>
        </w:tc>
      </w:tr>
      <w:tr>
        <w:tc>
          <w:tcPr>
            <w:tcW w:type="dxa" w:w="1440"/>
          </w:tcPr>
          <w:p>
            <w:r>
              <w:t>Programming required</w:t>
            </w:r>
          </w:p>
        </w:tc>
        <w:tc>
          <w:tcPr>
            <w:tcW w:type="dxa" w:w="1440"/>
          </w:tcPr>
          <w:p>
            <w:r>
              <w:t>No</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Cost</w:t>
            </w:r>
          </w:p>
        </w:tc>
        <w:tc>
          <w:tcPr>
            <w:tcW w:type="dxa" w:w="1440"/>
          </w:tcPr>
          <w:p>
            <w:r>
              <w:t>Free (MIT)</w:t>
            </w:r>
          </w:p>
        </w:tc>
        <w:tc>
          <w:tcPr>
            <w:tcW w:type="dxa" w:w="1440"/>
          </w:tcPr>
          <w:p>
            <w:r>
              <w:t>Free</w:t>
            </w:r>
          </w:p>
        </w:tc>
        <w:tc>
          <w:tcPr>
            <w:tcW w:type="dxa" w:w="1440"/>
          </w:tcPr>
          <w:p>
            <w:r>
              <w:t>Commercial</w:t>
            </w:r>
          </w:p>
        </w:tc>
        <w:tc>
          <w:tcPr>
            <w:tcW w:type="dxa" w:w="1440"/>
          </w:tcPr>
          <w:p>
            <w:r>
              <w:t>Free (Cochrane)</w:t>
            </w:r>
          </w:p>
        </w:tc>
        <w:tc>
          <w:tcPr>
            <w:tcW w:type="dxa" w:w="1440"/>
          </w:tcPr>
          <w:p>
            <w:r>
              <w:t>Free</w:t>
            </w:r>
          </w:p>
        </w:tc>
      </w:tr>
      <w:tr>
        <w:tc>
          <w:tcPr>
            <w:tcW w:type="dxa" w:w="1440"/>
          </w:tcPr>
          <w:p>
            <w:r>
              <w:t>Active maintenance</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Discontinued</w:t>
            </w:r>
          </w:p>
        </w:tc>
      </w:tr>
    </w:tbl>
    <w:p>
      <w:pPr>
        <w:pStyle w:val="Heading3"/>
      </w:pPr>
      <w:r>
        <w:t>Validation results</w:t>
      </w:r>
    </w:p>
    <w:p>
      <w:r>
        <w:t>Table 2 summarizes the R parity gate results.</w:t>
      </w:r>
    </w:p>
    <w:p>
      <w:r/>
      <w:r>
        <w:rPr>
          <w:b/>
        </w:rPr>
        <w:t>Table 2. Validation pass rates against R reference implementations (parity gate, 2026-03-12).</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Scenarios</w:t>
            </w:r>
          </w:p>
        </w:tc>
        <w:tc>
          <w:tcPr>
            <w:tcW w:type="dxa" w:w="2160"/>
          </w:tcPr>
          <w:p>
            <w:r>
              <w:t>Pass rate</w:t>
            </w:r>
          </w:p>
        </w:tc>
        <w:tc>
          <w:tcPr>
            <w:tcW w:type="dxa" w:w="2160"/>
          </w:tcPr>
          <w:p>
            <w:r>
              <w:t>R packages</w:t>
            </w:r>
          </w:p>
        </w:tc>
      </w:tr>
      <w:tr>
        <w:tc>
          <w:tcPr>
            <w:tcW w:type="dxa" w:w="2160"/>
          </w:tcPr>
          <w:p>
            <w:r>
              <w:t>Two-stage pooling</w:t>
            </w:r>
          </w:p>
        </w:tc>
        <w:tc>
          <w:tcPr>
            <w:tcW w:type="dxa" w:w="2160"/>
          </w:tcPr>
          <w:p>
            <w:r>
              <w:t>42</w:t>
            </w:r>
          </w:p>
        </w:tc>
        <w:tc>
          <w:tcPr>
            <w:tcW w:type="dxa" w:w="2160"/>
          </w:tcPr>
          <w:p>
            <w:r>
              <w:t>100%</w:t>
            </w:r>
          </w:p>
        </w:tc>
        <w:tc>
          <w:tcPr>
            <w:tcW w:type="dxa" w:w="2160"/>
          </w:tcPr>
          <w:p>
            <w:r>
              <w:t>metafor 4.8-0</w:t>
            </w:r>
          </w:p>
        </w:tc>
      </w:tr>
      <w:tr>
        <w:tc>
          <w:tcPr>
            <w:tcW w:type="dxa" w:w="2160"/>
          </w:tcPr>
          <w:p>
            <w:r>
              <w:t>One-stage mixed-effects</w:t>
            </w:r>
          </w:p>
        </w:tc>
        <w:tc>
          <w:tcPr>
            <w:tcW w:type="dxa" w:w="2160"/>
          </w:tcPr>
          <w:p>
            <w:r>
              <w:t>8</w:t>
            </w:r>
          </w:p>
        </w:tc>
        <w:tc>
          <w:tcPr>
            <w:tcW w:type="dxa" w:w="2160"/>
          </w:tcPr>
          <w:p>
            <w:r>
              <w:t>100%</w:t>
            </w:r>
          </w:p>
        </w:tc>
        <w:tc>
          <w:tcPr>
            <w:tcW w:type="dxa" w:w="2160"/>
          </w:tcPr>
          <w:p>
            <w:r>
              <w:t>lme4 1.1-35</w:t>
            </w:r>
          </w:p>
        </w:tc>
      </w:tr>
      <w:tr>
        <w:tc>
          <w:tcPr>
            <w:tcW w:type="dxa" w:w="2160"/>
          </w:tcPr>
          <w:p>
            <w:r>
              <w:t>One-stage coverage</w:t>
            </w:r>
          </w:p>
        </w:tc>
        <w:tc>
          <w:tcPr>
            <w:tcW w:type="dxa" w:w="2160"/>
          </w:tcPr>
          <w:p>
            <w:r>
              <w:t>Included</w:t>
            </w:r>
          </w:p>
        </w:tc>
        <w:tc>
          <w:tcPr>
            <w:tcW w:type="dxa" w:w="2160"/>
          </w:tcPr>
          <w:p>
            <w:r>
              <w:t>100%</w:t>
            </w:r>
          </w:p>
        </w:tc>
        <w:tc>
          <w:tcPr>
            <w:tcW w:type="dxa" w:w="2160"/>
          </w:tcPr>
          <w:p>
            <w:r>
              <w:t>metafor, lme4</w:t>
            </w:r>
          </w:p>
        </w:tc>
      </w:tr>
      <w:tr>
        <w:tc>
          <w:tcPr>
            <w:tcW w:type="dxa" w:w="2160"/>
          </w:tcPr>
          <w:p>
            <w:r>
              <w:t>Frailty models</w:t>
            </w:r>
          </w:p>
        </w:tc>
        <w:tc>
          <w:tcPr>
            <w:tcW w:type="dxa" w:w="2160"/>
          </w:tcPr>
          <w:p>
            <w:r>
              <w:t>Included</w:t>
            </w:r>
          </w:p>
        </w:tc>
        <w:tc>
          <w:tcPr>
            <w:tcW w:type="dxa" w:w="2160"/>
          </w:tcPr>
          <w:p>
            <w:r>
              <w:t>100%</w:t>
            </w:r>
          </w:p>
        </w:tc>
        <w:tc>
          <w:tcPr>
            <w:tcW w:type="dxa" w:w="2160"/>
          </w:tcPr>
          <w:p>
            <w:r>
              <w:t>survival 3.5-7</w:t>
            </w:r>
          </w:p>
        </w:tc>
      </w:tr>
      <w:tr>
        <w:tc>
          <w:tcPr>
            <w:tcW w:type="dxa" w:w="2160"/>
          </w:tcPr>
          <w:p>
            <w:r>
              <w:t>RMST analysis</w:t>
            </w:r>
          </w:p>
        </w:tc>
        <w:tc>
          <w:tcPr>
            <w:tcW w:type="dxa" w:w="2160"/>
          </w:tcPr>
          <w:p>
            <w:r>
              <w:t>Included</w:t>
            </w:r>
          </w:p>
        </w:tc>
        <w:tc>
          <w:tcPr>
            <w:tcW w:type="dxa" w:w="2160"/>
          </w:tcPr>
          <w:p>
            <w:r>
              <w:t>100%</w:t>
            </w:r>
          </w:p>
        </w:tc>
        <w:tc>
          <w:tcPr>
            <w:tcW w:type="dxa" w:w="2160"/>
          </w:tcPr>
          <w:p>
            <w:r>
              <w:t>survival 3.5-7</w:t>
            </w:r>
          </w:p>
        </w:tc>
      </w:tr>
      <w:tr>
        <w:tc>
          <w:tcPr>
            <w:tcW w:type="dxa" w:w="2160"/>
          </w:tcPr>
          <w:p>
            <w:r>
              <w:t>Extended survival (AFT, landmark)</w:t>
            </w:r>
          </w:p>
        </w:tc>
        <w:tc>
          <w:tcPr>
            <w:tcW w:type="dxa" w:w="2160"/>
          </w:tcPr>
          <w:p>
            <w:r>
              <w:t>16</w:t>
            </w:r>
          </w:p>
        </w:tc>
        <w:tc>
          <w:tcPr>
            <w:tcW w:type="dxa" w:w="2160"/>
          </w:tcPr>
          <w:p>
            <w:r>
              <w:t>100%</w:t>
            </w:r>
          </w:p>
        </w:tc>
        <w:tc>
          <w:tcPr>
            <w:tcW w:type="dxa" w:w="2160"/>
          </w:tcPr>
          <w:p>
            <w:r>
              <w:t>survival 3.5-7</w:t>
            </w:r>
          </w:p>
        </w:tc>
      </w:tr>
      <w:tr>
        <w:tc>
          <w:tcPr>
            <w:tcW w:type="dxa" w:w="2160"/>
          </w:tcPr>
          <w:p>
            <w:r>
              <w:t>Advanced survival (cure, competing risks)</w:t>
            </w:r>
          </w:p>
        </w:tc>
        <w:tc>
          <w:tcPr>
            <w:tcW w:type="dxa" w:w="2160"/>
          </w:tcPr>
          <w:p>
            <w:r>
              <w:t>6</w:t>
            </w:r>
          </w:p>
        </w:tc>
        <w:tc>
          <w:tcPr>
            <w:tcW w:type="dxa" w:w="2160"/>
          </w:tcPr>
          <w:p>
            <w:r>
              <w:t>100%</w:t>
            </w:r>
          </w:p>
        </w:tc>
        <w:tc>
          <w:tcPr>
            <w:tcW w:type="dxa" w:w="2160"/>
          </w:tcPr>
          <w:p>
            <w:r>
              <w:t>survival 3.5-7</w:t>
            </w:r>
          </w:p>
        </w:tc>
      </w:tr>
      <w:tr>
        <w:tc>
          <w:tcPr>
            <w:tcW w:type="dxa" w:w="2160"/>
          </w:tcPr>
          <w:p>
            <w:r>
              <w:t>Kaplan-Meier estimation</w:t>
            </w:r>
          </w:p>
        </w:tc>
        <w:tc>
          <w:tcPr>
            <w:tcW w:type="dxa" w:w="2160"/>
          </w:tcPr>
          <w:p>
            <w:r>
              <w:t>Included</w:t>
            </w:r>
          </w:p>
        </w:tc>
        <w:tc>
          <w:tcPr>
            <w:tcW w:type="dxa" w:w="2160"/>
          </w:tcPr>
          <w:p>
            <w:r>
              <w:t>100%</w:t>
            </w:r>
          </w:p>
        </w:tc>
        <w:tc>
          <w:tcPr>
            <w:tcW w:type="dxa" w:w="2160"/>
          </w:tcPr>
          <w:p>
            <w:r>
              <w:t>survival 3.5-7</w:t>
            </w:r>
          </w:p>
        </w:tc>
      </w:tr>
      <w:tr>
        <w:tc>
          <w:tcPr>
            <w:tcW w:type="dxa" w:w="2160"/>
          </w:tcPr>
          <w:p>
            <w:r>
              <w:t>Transportability (IOW, sensitivity, overlap)</w:t>
            </w:r>
          </w:p>
        </w:tc>
        <w:tc>
          <w:tcPr>
            <w:tcW w:type="dxa" w:w="2160"/>
          </w:tcPr>
          <w:p>
            <w:r>
              <w:t>Included</w:t>
            </w:r>
          </w:p>
        </w:tc>
        <w:tc>
          <w:tcPr>
            <w:tcW w:type="dxa" w:w="2160"/>
          </w:tcPr>
          <w:p>
            <w:r>
              <w:t>100%</w:t>
            </w:r>
          </w:p>
        </w:tc>
        <w:tc>
          <w:tcPr>
            <w:tcW w:type="dxa" w:w="2160"/>
          </w:tcPr>
          <w:p>
            <w:r>
              <w:t>Custom R</w:t>
            </w:r>
          </w:p>
        </w:tc>
      </w:tr>
      <w:tr>
        <w:tc>
          <w:tcPr>
            <w:tcW w:type="dxa" w:w="2160"/>
          </w:tcPr>
          <w:p>
            <w:r>
              <w:t>Federated analysis</w:t>
            </w:r>
          </w:p>
        </w:tc>
        <w:tc>
          <w:tcPr>
            <w:tcW w:type="dxa" w:w="2160"/>
          </w:tcPr>
          <w:p>
            <w:r>
              <w:t>Included</w:t>
            </w:r>
          </w:p>
        </w:tc>
        <w:tc>
          <w:tcPr>
            <w:tcW w:type="dxa" w:w="2160"/>
          </w:tcPr>
          <w:p>
            <w:r>
              <w:t>100%</w:t>
            </w:r>
          </w:p>
        </w:tc>
        <w:tc>
          <w:tcPr>
            <w:tcW w:type="dxa" w:w="2160"/>
          </w:tcPr>
          <w:p>
            <w:r>
              <w:t>Custom R</w:t>
            </w:r>
          </w:p>
        </w:tc>
      </w:tr>
      <w:tr>
        <w:tc>
          <w:tcPr>
            <w:tcW w:type="dxa" w:w="2160"/>
          </w:tcPr>
          <w:p>
            <w:r>
              <w:t>Frontier gap methods</w:t>
            </w:r>
          </w:p>
        </w:tc>
        <w:tc>
          <w:tcPr>
            <w:tcW w:type="dxa" w:w="2160"/>
          </w:tcPr>
          <w:p>
            <w:r>
              <w:t>10</w:t>
            </w:r>
          </w:p>
        </w:tc>
        <w:tc>
          <w:tcPr>
            <w:tcW w:type="dxa" w:w="2160"/>
          </w:tcPr>
          <w:p>
            <w:r>
              <w:t>100%</w:t>
            </w:r>
          </w:p>
        </w:tc>
        <w:tc>
          <w:tcPr>
            <w:tcW w:type="dxa" w:w="2160"/>
          </w:tcPr>
          <w:p>
            <w:r>
              <w:t>metafor 4.8-0</w:t>
            </w:r>
          </w:p>
        </w:tc>
      </w:tr>
      <w:tr>
        <w:tc>
          <w:tcPr>
            <w:tcW w:type="dxa" w:w="2160"/>
          </w:tcPr>
          <w:p>
            <w:r>
              <w:t>Simulation laboratory</w:t>
            </w:r>
          </w:p>
        </w:tc>
        <w:tc>
          <w:tcPr>
            <w:tcW w:type="dxa" w:w="2160"/>
          </w:tcPr>
          <w:p>
            <w:r>
              <w:t>3</w:t>
            </w:r>
          </w:p>
        </w:tc>
        <w:tc>
          <w:tcPr>
            <w:tcW w:type="dxa" w:w="2160"/>
          </w:tcPr>
          <w:p>
            <w:r>
              <w:t>100%</w:t>
            </w:r>
          </w:p>
        </w:tc>
        <w:tc>
          <w:tcPr>
            <w:tcW w:type="dxa" w:w="2160"/>
          </w:tcPr>
          <w:p>
            <w:r>
              <w:t>metafor, lme4</w:t>
            </w:r>
          </w:p>
        </w:tc>
      </w:tr>
      <w:tr>
        <w:tc>
          <w:tcPr>
            <w:tcW w:type="dxa" w:w="2160"/>
          </w:tcPr>
          <w:p>
            <w:r>
              <w:t>Publication replication</w:t>
            </w:r>
          </w:p>
        </w:tc>
        <w:tc>
          <w:tcPr>
            <w:tcW w:type="dxa" w:w="2160"/>
          </w:tcPr>
          <w:p>
            <w:r>
              <w:t>6</w:t>
            </w:r>
          </w:p>
        </w:tc>
        <w:tc>
          <w:tcPr>
            <w:tcW w:type="dxa" w:w="2160"/>
          </w:tcPr>
          <w:p>
            <w:r>
              <w:t>100%</w:t>
            </w:r>
          </w:p>
        </w:tc>
        <w:tc>
          <w:tcPr>
            <w:tcW w:type="dxa" w:w="2160"/>
          </w:tcPr>
          <w:p>
            <w:r>
              <w:t>metafor 4.8-0</w:t>
            </w:r>
          </w:p>
        </w:tc>
      </w:tr>
      <w:tr>
        <w:tc>
          <w:tcPr>
            <w:tcW w:type="dxa" w:w="2160"/>
          </w:tcPr>
          <w:p>
            <w:r>
              <w:t>**Total**</w:t>
            </w:r>
          </w:p>
        </w:tc>
        <w:tc>
          <w:tcPr>
            <w:tcW w:type="dxa" w:w="2160"/>
          </w:tcPr>
          <w:p>
            <w:r>
              <w:t>**99**</w:t>
            </w:r>
          </w:p>
        </w:tc>
        <w:tc>
          <w:tcPr>
            <w:tcW w:type="dxa" w:w="2160"/>
          </w:tcPr>
          <w:p>
            <w:r>
              <w:t>**100%**</w:t>
            </w:r>
          </w:p>
        </w:tc>
        <w:tc>
          <w:tcPr>
            <w:tcW w:type="dxa" w:w="2160"/>
          </w:tcPr>
          <w:p>
            <w:r/>
          </w:p>
        </w:tc>
      </w:tr>
    </w:tbl>
    <w:p>
      <w:r>
        <w:t>All 99 benchmark scenarios passed with zero maximum absolute difference against R reference values. Repeat-run determinism was confirmed (seed = 12345).</w:t>
      </w:r>
    </w:p>
    <w:p>
      <w:pPr>
        <w:pStyle w:val="Heading3"/>
      </w:pPr>
      <w:r>
        <w:t>Use case: two-stage IPD meta-analysis</w:t>
      </w:r>
    </w:p>
    <w:p>
      <w:r>
        <w:t>Using the built-in example dataset, a two-stage analysis with the REML estimator and HKSJ adjustment produces pooled effect estimates with study-level forest plots, heterogeneity statistics (tau-squared, I-squared, Q statistic with p-value), and prediction intervals. Leave-one-out influence analysis identifies potentially influential studies. The funnel plot with Egger's test p-value is displayed with appropriate caveats when fewer than 10 studies are present.</w:t>
      </w:r>
    </w:p>
    <w:p>
      <w:pPr>
        <w:pStyle w:val="Heading3"/>
      </w:pPr>
      <w:r>
        <w:t>Use case: survival analysis</w:t>
      </w:r>
    </w:p>
    <w:p>
      <w:r>
        <w:t>For time-to-event IPD, the platform generates Kaplan-Meier curves with confidence bands, conducts log-rank tests, fits Cox proportional hazards models with covariate adjustment, and pools study-specific hazard ratios. RMST analysis provides a complementary summary when the proportional hazards assumption is questionable.</w:t>
      </w:r>
    </w:p>
    <w:p>
      <w:pPr>
        <w:pStyle w:val="Heading3"/>
      </w:pPr>
      <w:r>
        <w:t>Use case: one-stage versus two-stage comparison</w:t>
      </w:r>
    </w:p>
    <w:p>
      <w:r>
        <w:t>The decision aid evaluates data characteristics and recommends the appropriate approach. When treatment-covariate interactions, rare events, or variable follow-up times are present, one-stage is favored. Both approaches can be run and compared within the same session.</w:t>
      </w:r>
    </w:p>
    <w:p>
      <w:pPr>
        <w:pStyle w:val="Heading2"/>
      </w:pPr>
      <w:r>
        <w:t>Discussion</w:t>
      </w:r>
    </w:p>
    <w:p>
      <w:r>
        <w:t>IPD Meta-Analysis Pro provides a no-installation, no-programming solution for IPD meta-analysis that achieves numerical parity with established R packages across 99 validated scenarios. The client-side architecture ensures that sensitive patient-level data remain on the user's machine, addressing a practical barrier in multi-center collaborations where data sharing agreements may restrict cloud-based processing.</w:t>
      </w:r>
    </w:p>
    <w:p>
      <w:r>
        <w:t>Several design decisions merit discussion. The single-file architecture (111,112 lines) simplifies distribution and offline use but presents challenges for browser parsing on resource-constrained devices. The xoshiro128** PRNG with monkey-patched `Math.random()` provides bitwise determinism but requires careful state management to avoid contaminating subsequent non-analysis computations. The JSON-patch undo system avoids the multi-gigabyte memory cost of deep-cloning large IPD datasets but implements only an RFC 6902 subset.</w:t>
      </w:r>
    </w:p>
    <w:p>
      <w:r>
        <w:t>The TruthCert layer represents an attempt to bring proof-carrying certification to meta-analysis outputs. By hashing inputs, recording analysis parameters, and running automated validators, the system produces auditable bundles that can be independently verified. While not equivalent to formal verification, this approach improves reproducibility over standard software outputs that lack provenance metadata.</w:t>
      </w:r>
    </w:p>
    <w:p>
      <w:pPr>
        <w:pStyle w:val="Heading3"/>
      </w:pPr>
      <w:r>
        <w:t>Limitations</w:t>
      </w:r>
    </w:p>
    <w:p>
      <w:r>
        <w:t xml:space="preserve">1. </w:t>
      </w:r>
      <w:r>
        <w:rPr>
          <w:b/>
        </w:rPr>
        <w:t>Approximated one-stage models.</w:t>
      </w:r>
      <w:r>
        <w:t xml:space="preserve"> The one-stage mixed-effects implementation uses JavaScript approximations rather than the full REML/Laplace estimation available in lme4. For complex random-effects structures, R or Stata implementations should be preferred.</w:t>
      </w:r>
    </w:p>
    <w:p>
      <w:r>
        <w:t xml:space="preserve">2. </w:t>
      </w:r>
      <w:r>
        <w:rPr>
          <w:b/>
        </w:rPr>
        <w:t>No IPD-level publication bias methods.</w:t>
      </w:r>
      <w:r>
        <w:t xml:space="preserve"> Publication bias assessment operates on study-level summary statistics. Methods specifically designed for IPD publication bias (e.g., modeling study availability as a function of patient-level results) are not implemented.</w:t>
      </w:r>
    </w:p>
    <w:p>
      <w:r>
        <w:t xml:space="preserve">3. </w:t>
      </w:r>
      <w:r>
        <w:rPr>
          <w:b/>
        </w:rPr>
        <w:t>Basic network meta-analysis.</w:t>
      </w:r>
      <w:r>
        <w:t xml:space="preserve"> The NMA module provides consistency models and SUCRA rankings but lacks advanced features such as node-splitting inconsistency tests, design-by-treatment interaction models, and component NMA with interaction terms available in specialized packages like netmeta [33].</w:t>
      </w:r>
    </w:p>
    <w:p>
      <w:r>
        <w:t xml:space="preserve">4. </w:t>
      </w:r>
      <w:r>
        <w:rPr>
          <w:b/>
        </w:rPr>
        <w:t>Proportional hazards assumption.</w:t>
      </w:r>
      <w:r>
        <w:t xml:space="preserve"> Survival analysis primarily assumes proportional hazards. While RMST and AFT models provide alternatives, the platform does not implement flexible parametric models (e.g., Royston-Parmar) or spline-based hazard estimation.</w:t>
      </w:r>
    </w:p>
    <w:p>
      <w:r>
        <w:t xml:space="preserve">5. </w:t>
      </w:r>
      <w:r>
        <w:rPr>
          <w:b/>
        </w:rPr>
        <w:t>No competing risks in production.</w:t>
      </w:r>
      <w:r>
        <w:t xml:space="preserve"> Competing risks regression is present in the benchmark suite but should be considered exploratory for production analyses.</w:t>
      </w:r>
    </w:p>
    <w:p>
      <w:r>
        <w:t xml:space="preserve">6. </w:t>
      </w:r>
      <w:r>
        <w:rPr>
          <w:b/>
        </w:rPr>
        <w:t>Bootstrap limitations.</w:t>
      </w:r>
      <w:r>
        <w:t xml:space="preserve"> Bootstrap confidence intervals default to 1,000 replicates and are not parallelized via Web Workers for all methods. For large datasets (&gt;10,000 participants), bootstrap computation may be slow.</w:t>
      </w:r>
    </w:p>
    <w:p>
      <w:r>
        <w:t xml:space="preserve">7. </w:t>
      </w:r>
      <w:r>
        <w:rPr>
          <w:b/>
        </w:rPr>
        <w:t>WebR dependency.</w:t>
      </w:r>
      <w:r>
        <w:t xml:space="preserve"> The optional WebR integration for in-browser R validation requires an internet connection for first load and approximately 20 MB of downloads. It is not required for core functionality.</w:t>
      </w:r>
    </w:p>
    <w:p>
      <w:r>
        <w:t xml:space="preserve">8. </w:t>
      </w:r>
      <w:r>
        <w:rPr>
          <w:b/>
        </w:rPr>
        <w:t>No formal usability testing.</w:t>
      </w:r>
      <w:r>
        <w:t xml:space="preserve"> The interface has not undergone formal usability evaluation with clinical researchers. User experience is based on developer testing and informal feedback.</w:t>
      </w:r>
    </w:p>
    <w:p>
      <w:r>
        <w:t xml:space="preserve">9. </w:t>
      </w:r>
      <w:r>
        <w:rPr>
          <w:b/>
        </w:rPr>
        <w:t>Browser parsing overhead.</w:t>
      </w:r>
      <w:r>
        <w:t xml:space="preserve"> At 111,112 lines, the single HTML file requires approximately 1.5 seconds to parse on modern hardware. Low-end devices (e.g., older tablets) may experience slower initial load times.</w:t>
      </w:r>
    </w:p>
    <w:p>
      <w:r>
        <w:t xml:space="preserve">10. </w:t>
      </w:r>
      <w:r>
        <w:rPr>
          <w:b/>
        </w:rPr>
        <w:t>No Bayesian IPD models.</w:t>
      </w:r>
      <w:r>
        <w:t xml:space="preserve"> The Bayesian MCMC module implements aggregate-level random-effects models. Full Bayesian IPD models with patient-level likelihood specification are not available; researchers requiring these should use R (brms) or Stan.</w:t>
      </w:r>
    </w:p>
    <w:p>
      <w:pPr>
        <w:pStyle w:val="Heading3"/>
      </w:pPr>
      <w:r>
        <w:t>Comparison with existing tools</w:t>
      </w:r>
    </w:p>
    <w:p>
      <w:r>
        <w:t>Relative to R pipelines, IPD Meta-Analysis Pro trades statistical extensibility for accessibility. Researchers who need advanced one-stage models with crossed random effects, penalized splines, or custom likelihood specifications will continue to require R or Stata. However, for the common workflow of two-stage IPD meta-analysis with standard heterogeneity estimation, survival analysis, and GRADE reporting, the browser-based platform provides equivalent results without programming overhead.</w:t>
      </w:r>
    </w:p>
    <w:p>
      <w:r>
        <w:t>Relative to RevMan and CMA, IPD Meta-Analysis Pro adds capabilities absent from aggregate-only tools: patient-level data handling, one-stage models, survival analysis, MICE imputation, and PRISMA-IPD compliance tracking. The TruthCert layer and deterministic PRNG provide reproducibility features not available in any current meta-analysis GUI.</w:t>
      </w:r>
    </w:p>
    <w:p>
      <w:pPr>
        <w:pStyle w:val="Heading2"/>
      </w:pPr>
      <w:r>
        <w:t>Conclusions</w:t>
      </w:r>
    </w:p>
    <w:p>
      <w:r>
        <w:t>IPD Meta-Analysis Pro is a freely available, browser-based platform for individual participant data meta-analysis. It implements one-stage and two-stage approaches, seven heterogeneity estimators with HKSJ adjustment, survival analysis, network meta-analysis, meta-regression, multiple imputation, and proof-carrying certification, all validated against R reference implementations across 99 benchmark scenarios with 100% pass rates. By removing the need for software installation and programming, the platform aims to make IPD meta-analysis accessible to clinical researchers while maintaining the statistical rigor expected of evidence synthesis tools.</w:t>
      </w:r>
    </w:p>
    <w:p>
      <w:pPr>
        <w:pStyle w:val="Heading2"/>
      </w:pPr>
      <w:r>
        <w:t>Software availability</w:t>
      </w:r>
    </w:p>
    <w:p>
      <w:pPr>
        <w:pStyle w:val="ListBullet"/>
      </w:pPr>
      <w:r>
        <w:rPr>
          <w:b/>
        </w:rPr>
        <w:t>Source code:</w:t>
      </w:r>
      <w:r>
        <w:t xml:space="preserve"> https://github.com/mahmood726-cyber/ipd-meta-analysis-pro</w:t>
      </w:r>
    </w:p>
    <w:p>
      <w:pPr>
        <w:pStyle w:val="ListBullet"/>
      </w:pPr>
      <w:r>
        <w:rPr>
          <w:b/>
        </w:rPr>
        <w:t>Archived source code at time of publication:</w:t>
      </w:r>
      <w:r>
        <w:t xml:space="preserve"> [ZENODO_DOI_PLACEHOLDER]</w:t>
      </w:r>
    </w:p>
    <w:p>
      <w:pPr>
        <w:pStyle w:val="ListBullet"/>
      </w:pPr>
      <w:r>
        <w:rPr>
          <w:b/>
        </w:rPr>
        <w:t>Live demo:</w:t>
      </w:r>
      <w:r>
        <w:t xml:space="preserve"> https://mahmood726-cyber.github.io/ipd-meta-analysis-pro/ipd-meta-pro.html</w:t>
      </w:r>
    </w:p>
    <w:p>
      <w:pPr>
        <w:pStyle w:val="ListBullet"/>
      </w:pPr>
      <w:r>
        <w:rPr>
          <w:b/>
        </w:rPr>
        <w:t>License:</w:t>
      </w:r>
      <w:r>
        <w:t xml:space="preserve"> MIT</w:t>
      </w:r>
    </w:p>
    <w:p>
      <w:r>
        <w:t>An `renv.lock` file is included to pin R package versions (metafor 4.8-0, lme4 1.1-35, survival 3.5-7) used in the parity gate.</w:t>
      </w:r>
    </w:p>
    <w:p>
      <w:pPr>
        <w:pStyle w:val="Heading2"/>
      </w:pPr>
      <w:r>
        <w:t>Data availability</w:t>
      </w:r>
    </w:p>
    <w:p>
      <w:r>
        <w:t>No new clinical data were generated for this article. Example datasets embedded in the application are synthetic and available within the source code repository. R benchmark scripts and parity gate artifacts are included in the `dev/benchmarks/` and `dev/r-validation/` directories.</w:t>
      </w:r>
    </w:p>
    <w:p>
      <w:pPr>
        <w:pStyle w:val="Heading2"/>
      </w:pPr>
      <w:r>
        <w:t>Author contributions</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CRediT roles</w:t>
            </w:r>
          </w:p>
        </w:tc>
      </w:tr>
      <w:tr>
        <w:tc>
          <w:tcPr>
            <w:tcW w:type="dxa" w:w="4320"/>
          </w:tcPr>
          <w:p>
            <w:r>
              <w:t>Mahmood Ahmad</w:t>
            </w:r>
          </w:p>
        </w:tc>
        <w:tc>
          <w:tcPr>
            <w:tcW w:type="dxa" w:w="4320"/>
          </w:tcPr>
          <w:p>
            <w:r>
              <w:t>Conceptualization; Methodology; Software; Validation; Writing - Original Draft; Writing - Review &amp; Editing</w:t>
            </w:r>
          </w:p>
        </w:tc>
      </w:tr>
      <w:tr>
        <w:tc>
          <w:tcPr>
            <w:tcW w:type="dxa" w:w="4320"/>
          </w:tcPr>
          <w:p>
            <w:r>
              <w:t>Niraj Kumar</w:t>
            </w:r>
          </w:p>
        </w:tc>
        <w:tc>
          <w:tcPr>
            <w:tcW w:type="dxa" w:w="4320"/>
          </w:tcPr>
          <w:p>
            <w:r>
              <w:t>Conceptualization; Writing - Review &amp; Editing</w:t>
            </w:r>
          </w:p>
        </w:tc>
      </w:tr>
      <w:tr>
        <w:tc>
          <w:tcPr>
            <w:tcW w:type="dxa" w:w="4320"/>
          </w:tcPr>
          <w:p>
            <w:r>
              <w:t>Bilaal Dar</w:t>
            </w:r>
          </w:p>
        </w:tc>
        <w:tc>
          <w:tcPr>
            <w:tcW w:type="dxa" w:w="4320"/>
          </w:tcPr>
          <w:p>
            <w:r>
              <w:t>Conceptualization; Writing - Review &amp; Editing</w:t>
            </w:r>
          </w:p>
        </w:tc>
      </w:tr>
      <w:tr>
        <w:tc>
          <w:tcPr>
            <w:tcW w:type="dxa" w:w="4320"/>
          </w:tcPr>
          <w:p>
            <w:r>
              <w:t>Laiba Khan</w:t>
            </w:r>
          </w:p>
        </w:tc>
        <w:tc>
          <w:tcPr>
            <w:tcW w:type="dxa" w:w="4320"/>
          </w:tcPr>
          <w:p>
            <w:r>
              <w:t>Conceptualization; Writing - Review &amp; Editing</w:t>
            </w:r>
          </w:p>
        </w:tc>
      </w:tr>
      <w:tr>
        <w:tc>
          <w:tcPr>
            <w:tcW w:type="dxa" w:w="4320"/>
          </w:tcPr>
          <w:p>
            <w:r>
              <w:t>Andrew Woo</w:t>
            </w:r>
          </w:p>
        </w:tc>
        <w:tc>
          <w:tcPr>
            <w:tcW w:type="dxa" w:w="4320"/>
          </w:tcPr>
          <w:p>
            <w:r>
              <w:t>Conceptualization; Writing - Review &amp; Editing</w:t>
            </w:r>
          </w:p>
        </w:tc>
      </w:tr>
    </w:tbl>
    <w:p>
      <w:pPr>
        <w:pStyle w:val="Heading2"/>
      </w:pPr>
      <w:r>
        <w:t>Competing interests</w:t>
      </w:r>
    </w:p>
    <w:p>
      <w:r>
        <w:t>No competing interests were disclosed.</w:t>
      </w:r>
    </w:p>
    <w:p>
      <w:pPr>
        <w:pStyle w:val="Heading2"/>
      </w:pPr>
      <w:r>
        <w:t>Grant information</w:t>
      </w:r>
    </w:p>
    <w:p>
      <w:r>
        <w:t>The authors declared that no grants were involved in supporting this work.</w:t>
      </w:r>
    </w:p>
    <w:p>
      <w:pPr>
        <w:pStyle w:val="Heading2"/>
      </w:pPr>
      <w:r>
        <w:t>Acknowledgements</w:t>
      </w:r>
    </w:p>
    <w:p>
      <w:r>
        <w:t>The authors acknowledge the developers of the R packages metafor, meta, survival, and lme4, whose implementations served as reference standards for numerical validation. The xoshiro128** PRNG algorithm was developed by Blackman and Vigna [13].</w:t>
      </w:r>
    </w:p>
    <w:p>
      <w:pPr>
        <w:pStyle w:val="Heading2"/>
      </w:pPr>
      <w:r>
        <w:t>References</w:t>
      </w:r>
    </w:p>
    <w:p>
      <w:r>
        <w:t>1. Riley RD, Lambert PC, Abo-Zaid G. Meta-analysis of individual participant data: rationale, conduct, and reporting. BMJ. 2010;340:c221. https://doi.org/10.1136/bmj.c221</w:t>
      </w:r>
    </w:p>
    <w:p>
      <w:r>
        <w:t>2. Debray TPA, Moons KGM, van Valkenhoef G, et al. Get real in individual participant data (IPD) meta-analysis: a review of the methodology. Res Synth Methods. 2015;6(4):293-309. https://doi.org/10.1002/jrsm.1160</w:t>
      </w:r>
    </w:p>
    <w:p>
      <w:r>
        <w:t>3. Stewart LA, Tierney JF. To IPD or not to IPD? Advantages and disadvantages of systematic reviews using individual patient data. Eval Health Prof. 2002;25(1):76-97. https://doi.org/10.1177/0163278702025001006</w:t>
      </w:r>
    </w:p>
    <w:p>
      <w:r>
        <w:t>4. Burke DL, Ensor J, Riley RD. Meta-analysis using individual participant data: one-stage and two-stage approaches, and why they may differ. Stat Med. 2017;36(5):855-875. https://doi.org/10.1002/sim.7141</w:t>
      </w:r>
    </w:p>
    <w:p>
      <w:r>
        <w:t>5. Viechtbauer W. Conducting meta-analyses in R with the metafor package. J Stat Softw. 2010;36(3):1-48. https://doi.org/10.18637/jss.v036.i03</w:t>
      </w:r>
    </w:p>
    <w:p>
      <w:r>
        <w:t>6. Bates D, Machler M, Bolker B, Walker S. Fitting linear mixed-effects models using lme4. J Stat Softw. 2015;67(1):1-48. https://doi.org/10.18637/jss.v067.i01</w:t>
      </w:r>
    </w:p>
    <w:p>
      <w:r>
        <w:t>7. Therneau TM, Grambsch PM. Modeling Survival Data: Extending the Cox Model. New York: Springer; 2000.</w:t>
      </w:r>
    </w:p>
    <w:p>
      <w:r>
        <w:t>8. Fisher DJ. Two-stage individual participant data meta-analysis and generalized forest plots. Stata J. 2015;15(2):369-396. https://doi.org/10.1177/1536867X1501500203</w:t>
      </w:r>
    </w:p>
    <w:p>
      <w:r>
        <w:t>9. Review Manager (RevMan) [Computer program]. Version 5.4. The Cochrane Collaboration; 2020.</w:t>
      </w:r>
    </w:p>
    <w:p>
      <w:r>
        <w:t>10. Borenstein M, Hedges LV, Higgins JPT, Rothstein HR. Comprehensive Meta-Analysis (Version 4). Biostat, Englewood, NJ; 2022.</w:t>
      </w:r>
    </w:p>
    <w:p>
      <w:r>
        <w:t>11. Wallace BC, Dahabreh IJ, Trikalinos TA, Lau J, Trow P, Schmid CH. Closing the gap between methodologists and end-users: R as a computational back-end. J Stat Softw. 2012;49(5):1-15. https://doi.org/10.18637/jss.v049.i05</w:t>
      </w:r>
    </w:p>
    <w:p>
      <w:r>
        <w:t>12. Ahmad M. TruthCert: proof-carrying numbers for reproducible evidence synthesis. Under review. 2026.</w:t>
      </w:r>
    </w:p>
    <w:p>
      <w:r>
        <w:t>13. Blackman S, Vigna S. Scrambled linear pseudorandom number generators. ACM Trans Math Softw. 2021;47(4):1-32. https://doi.org/10.1145/3460772</w:t>
      </w:r>
    </w:p>
    <w:p>
      <w:r>
        <w:t>14. DerSimonian R, Laird N. Meta-analysis in clinical trials. Control Clin Trials. 1986;7(3):177-188. https://doi.org/10.1016/0197-2456(86)90046-2</w:t>
      </w:r>
    </w:p>
    <w:p>
      <w:r>
        <w:t>15. Paule RC, Mandel J. Consensus values and weighting factors. J Res Natl Bur Stand. 1982;87(5):377-385. https://doi.org/10.6028/jres.087.022</w:t>
      </w:r>
    </w:p>
    <w:p>
      <w:r>
        <w:t>16. Hedges LV. A random effects model for effect sizes. Psychol Bull. 1983;93(2):388-395.</w:t>
      </w:r>
    </w:p>
    <w:p>
      <w:r>
        <w:t>17. Hunter JE, Schmidt FL. Methods of Meta-Analysis: Correcting Error and Bias in Research Findings. 3rd ed. Sage; 2014.</w:t>
      </w:r>
    </w:p>
    <w:p>
      <w:r>
        <w:t>18. Sidik K, Jonkman JN. A simple confidence interval for meta-analysis. Stat Med. 2002;21(21):3153-3159. https://doi.org/10.1002/sim.1262</w:t>
      </w:r>
    </w:p>
    <w:p>
      <w:r>
        <w:t>19. Hartung J, Knapp G. A refined method for the meta-analysis of controlled clinical trials with binary outcome. Stat Med. 2001;20(24):3875-3889. https://doi.org/10.1002/sim.1009</w:t>
      </w:r>
    </w:p>
    <w:p>
      <w:r>
        <w:t>20. IntHout J, Ioannidis JP, Rovers MM, Goeman JJ. Plea for routinely presenting prediction intervals in meta-analysis. BMJ Open. 2016;6(7):e010247. https://doi.org/10.1136/bmjopen-2015-010247</w:t>
      </w:r>
    </w:p>
    <w:p>
      <w:r>
        <w:t>21. Salanti G, Ades AE, Ioannidis JPA. Graphical methods and numerical summaries for presenting results from multiple-treatment meta-analysis: an overview and tutorial. J Clin Epidemiol. 2011;64(2):163-171. https://doi.org/10.1016/j.jclinepi.2010.03.016</w:t>
      </w:r>
    </w:p>
    <w:p>
      <w:r>
        <w:t>22. van Buuren S, Groothuis-Oudshoorn K. mice: Multivariate Imputation by Chained Equations in R. J Stat Softw. 2011;45(3):1-67. https://doi.org/10.18637/jss.v045.i03</w:t>
      </w:r>
    </w:p>
    <w:p>
      <w:r>
        <w:t>23. Egger M, Davey Smith G, Schneider M, Minder C. Bias in meta-analysis detected by a simple, graphical test. BMJ. 1997;315(7109):629-634. https://doi.org/10.1136/bmj.315.7109.629</w:t>
      </w:r>
    </w:p>
    <w:p>
      <w:r>
        <w:t>24. Begg CB, Mazumdar M. Operating characteristics of a rank correlation test for publication bias. Biometrics. 1994;50(4):1088-1101.</w:t>
      </w:r>
    </w:p>
    <w:p>
      <w:r>
        <w:t>25. Duval S, Tweedie R. Trim and fill: a simple funnel-plot-based method of testing and adjusting for publication bias in meta-analysis. Biometrics. 2000;56(2):455-463. https://doi.org/10.1111/j.0006-341X.2000.00455.x</w:t>
      </w:r>
    </w:p>
    <w:p>
      <w:r>
        <w:t>26. Sterne JAC, Sutton AJ, Ioannidis JPA, et al. Recommendations for examining and interpreting funnel plot asymmetry in meta-analyses of randomised controlled trials. BMJ. 2011;343:d4002. https://doi.org/10.1136/bmj.d4002</w:t>
      </w:r>
    </w:p>
    <w:p>
      <w:r>
        <w:t>27. Guyatt GH, Oxman AD, Vist GE, et al. GRADE: an emerging consensus on rating quality of evidence and strength of recommendations. BMJ. 2008;336(7650):924-926. https://doi.org/10.1136/bmj.39489.470347.AD</w:t>
      </w:r>
    </w:p>
    <w:p>
      <w:r>
        <w:t>28. Stewart LA, Clarke M, Rovers M, et al. Preferred Reporting Items for Systematic Review and Meta-Analyses of individual participant data: the PRISMA-IPD Statement. JAMA. 2015;313(16):1657-1665. https://doi.org/10.1001/jama.2015.3656</w:t>
      </w:r>
    </w:p>
    <w:p>
      <w:r>
        <w:t>29. Sterne JAC, Savovic J, Page MJ, et al. RoB 2: a revised tool for assessing risk of bias in randomised trials. BMJ. 2019;366:l4898. https://doi.org/10.1136/bmj.l4898</w:t>
      </w:r>
    </w:p>
    <w:p>
      <w:r>
        <w:t>30. Westreich D, Edwards JK, Lesko CR, Stuart E, Cole SR. Transportability of trial results using inverse odds of sampling weights. Am J Epidemiol. 2017;186(8):1010-1014. https://doi.org/10.1093/aje/kwx164</w:t>
      </w:r>
    </w:p>
    <w:p>
      <w:r>
        <w:t>31. Li X, Dusseldorp E, Meulman JJ. Meta-CART: a tool to identify interaction effects in meta-analysis. Br J Math Stat Psychol. 2017;70(1):118-136. https://doi.org/10.1111/bmsp.12088</w:t>
      </w:r>
    </w:p>
    <w:p>
      <w:r>
        <w:t>32. Balduzzi S, Rucker G, Schwarzer G. How to perform a meta-analysis with R: a practical tutorial. Evid Based Ment Health. 2019;22(4):153-160. https://doi.org/10.1136/ebmental-2019-300117</w:t>
      </w:r>
    </w:p>
    <w:p>
      <w:r>
        <w:t>33. Rucker G, Krahn U, Konig J, Efthimiou O, Schwarzer G. netmeta: Network Meta-Analysis using Frequentist Methods. R package.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