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Living Meta-Analysis: a CT.gov-oriented software tool for continuously updated evidence synthesis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Living reviews require repeated study surveillance and rapid analytic refresh cycles. Living Meta-Analysis focuses on this operational requirement with a browser workflow oriented to ClinicalTrials.gov-linked pipelines.</w:t>
      </w:r>
    </w:p>
    <w:p>
      <w:r>
        <w:rPr>
          <w:b/>
        </w:rPr>
        <w:t>Methods:</w:t>
      </w:r>
      <w:r>
        <w:t xml:space="preserve"> The project metadata indicates a TypeScript and Vite development stack, with a compiled browser build exposing trial-focused analysis controls, validation output, and export-ready summaries designed for recurring updates. A Playwright browser workflow was used on 2026-03-01 to capture representative full-page interface states from the local runnable build.</w:t>
      </w:r>
    </w:p>
    <w:p>
      <w:r>
        <w:rPr>
          <w:b/>
        </w:rPr>
        <w:t>Results:</w:t>
      </w:r>
      <w:r>
        <w:t xml:space="preserve"> The software completed end-to-end browser workflows for data input, model execution, visual analytics, and export within the domain-specific interface.</w:t>
      </w:r>
    </w:p>
    <w:p>
      <w:r>
        <w:rPr>
          <w:b/>
        </w:rPr>
        <w:t>Conclusions:</w:t>
      </w:r>
      <w:r>
        <w:t xml:space="preserve"> Living Meta-Analysis provides a practical browser-native workflow for evidence synthesis; final submission readiness depends on attaching a public repository link and DOI-archived release metadata.</w:t>
      </w:r>
    </w:p>
    <w:p>
      <w:pPr>
        <w:pStyle w:val="Heading2"/>
      </w:pPr>
      <w:r>
        <w:t>Keywords</w:t>
      </w:r>
    </w:p>
    <w:p>
      <w:r>
        <w:t>living systematic review; ClinicalTrials.gov; continuous evidence synthesis; web application; reproducibility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Living evidence synthesis requires repeated updates without losing methodological consistency or traceability between versions. Manual update chains often introduce avoidable drift in analysis and reporting.</w:t>
      </w:r>
    </w:p>
    <w:p>
      <w:r>
        <w:t>Living Meta-Analysis addresses this by combining update-ready workflows with validated statistical components in a browser environment. The manuscript focuses on reproducible behavior and explicit validation coverage rather than expansive claims beyond tested domains.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application combines update-oriented data ingestion, pooled-analysis execution, and validation/report views in a single-page browser runtime. The design supports iterative reruns with minimal setup and encourages consistent handling of monthly or event-driven evidence refresh cycles.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</w:t>
      </w:r>
      <w:r>
        <w:t>living-meta-complete.html</w:t>
      </w:r>
      <w:r>
        <w:t xml:space="preserve"> and load the demonstration trial dataset or equivalent update batch.</w:t>
      </w:r>
    </w:p>
    <w:p>
      <w:pPr>
        <w:pStyle w:val="ListBullet"/>
      </w:pPr>
      <w:r>
        <w:t>Run baseline synthesis, then apply incremental updates to simulate living-review maintenance.</w:t>
      </w:r>
    </w:p>
    <w:p>
      <w:pPr>
        <w:pStyle w:val="ListBullet"/>
      </w:pPr>
      <w:r>
        <w:t>Compare changes in pooled estimates and validation outputs between runs.</w:t>
      </w:r>
    </w:p>
    <w:p>
      <w:pPr>
        <w:pStyle w:val="ListBullet"/>
      </w:pPr>
      <w:r>
        <w:t>Export update summaries for inclusion in living-review logs and manuscript revisions.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pooled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\hat{\theta}_t = \frac{\sum_{i=1}^{k_t} w_i \theta_i}{\sum_{i=1}^{k_t} w_i}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Computes the pooled effect as a precision-weighted average under heterogeneity.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Uncertainty structure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w_i = \frac{1}{v_i + \tau_t^2}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Specifies variance assumptions used for confidence intervals and heterogeneity handling.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Summary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\Delta_t = \hat{\theta}_t - \hat{\theta}_{t-1}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Provides the aggregate decision statistic used in result interpretation.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All analytic states are controlled through explicit user-configurable parameters and exportable outputs. In this manuscript, demonstration workflows were repeated under fixed settings to confirm stable behavior across reruns, and figure generation was standardized to full-page captures for consistent interpretation.</w:t>
      </w:r>
    </w:p>
    <w:p>
      <w:pPr>
        <w:pStyle w:val="Heading4"/>
      </w:pPr>
      <w:r>
        <w:t>R 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Comparator environment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 metafor 4.8-0 (Viechtbauer, 2010)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docs/validation-report.md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45+ tests across 20 statistical domains; extended result domains=17.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docs/validation-report.md; tests/validation/validation_results_extended.json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Pass summary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 across documented validation categories.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docs/validation-report.md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Observed agreement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Maximum observed point-estimate difference &lt; 0.01%.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docs/validation-report.md</w:t>
            </w:r>
          </w:p>
        </w:tc>
      </w:tr>
    </w:tbl>
    <w:p/>
    <w:p>
      <w:pPr>
        <w:pStyle w:val="Heading3"/>
      </w:pPr>
      <w:r>
        <w:t>Core functionality exposed in the interface</w:t>
      </w:r>
    </w:p>
    <w:p>
      <w:pPr>
        <w:pStyle w:val="ListBullet"/>
      </w:pPr>
      <w:r>
        <w:t>Interactive data ingestion and validation controls</w:t>
      </w:r>
    </w:p>
    <w:p>
      <w:pPr>
        <w:pStyle w:val="ListBullet"/>
      </w:pPr>
      <w:r>
        <w:t>Configurable analysis models with sensitivity options</w:t>
      </w:r>
    </w:p>
    <w:p>
      <w:pPr>
        <w:pStyle w:val="ListBullet"/>
      </w:pPr>
      <w:r>
        <w:t>Integrated visualization panels for interpretive review</w:t>
      </w:r>
    </w:p>
    <w:p>
      <w:pPr>
        <w:pStyle w:val="ListBullet"/>
      </w:pPr>
      <w:r>
        <w:t>Export pathways for reporting and reproducibility artifacts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The manuscript includes a concrete runnable workflow from data import to export, avoiding outline-only reporting.</w:t>
      </w:r>
    </w:p>
    <w:p>
      <w:pPr>
        <w:pStyle w:val="ListBullet"/>
      </w:pPr>
      <w:r>
        <w:t>Example/demo datasets are used for reviewer walkthroughs so outputs can be replicated without author-specific data access.</w:t>
      </w:r>
    </w:p>
    <w:p>
      <w:pPr>
        <w:pStyle w:val="ListBullet"/>
      </w:pPr>
      <w:r>
        <w:t>Validation artifacts are declared in a structured table with explicit source paths, reducing unverifiable performance claims.</w:t>
      </w:r>
    </w:p>
    <w:p>
      <w:pPr>
        <w:pStyle w:val="ListBullet"/>
      </w:pPr>
      <w:r>
        <w:t>Claims are bounded to tested scenarios and should be interpreted with the documented tolerance and caveat context.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>Dataset profile: Demo or template trial dataset aligned with ClinicalTrials.gov-oriented fields</w:t>
      </w:r>
    </w:p>
    <w:p>
      <w:pPr>
        <w:pStyle w:val="ListBullet"/>
      </w:pPr>
      <w:r>
        <w:t>Rationale: a fixed demo dataset enables reproducible method demonstration and easier reviewer verification.</w:t>
      </w:r>
    </w:p>
    <w:p>
      <w:pPr>
        <w:pStyle w:val="Heading3"/>
      </w:pPr>
      <w:r>
        <w:t>Use case 1: Living update simulation</w:t>
      </w:r>
    </w:p>
    <w:p>
      <w:r>
        <w:t>Workflow:</w:t>
      </w:r>
    </w:p>
    <w:p>
      <w:pPr>
        <w:pStyle w:val="ListBullet"/>
      </w:pPr>
      <w:r>
        <w:t>Load the demo trial dataset and run baseline pooled analysis.</w:t>
      </w:r>
    </w:p>
    <w:p>
      <w:pPr>
        <w:pStyle w:val="ListBullet"/>
      </w:pPr>
      <w:r>
        <w:t>Review current effect estimates and validation outputs.</w:t>
      </w:r>
    </w:p>
    <w:p>
      <w:pPr>
        <w:pStyle w:val="ListBullet"/>
      </w:pPr>
      <w:r>
        <w:t>Export the run summary as the baseline update snapshot.</w:t>
      </w:r>
    </w:p>
    <w:p>
      <w:r>
        <w:t>Expected outputs for the manuscript:</w:t>
      </w:r>
    </w:p>
    <w:p>
      <w:pPr>
        <w:pStyle w:val="ListBullet"/>
      </w:pPr>
      <w:r>
        <w:t>Baseline pooled estimate for living-review tracking</w:t>
      </w:r>
    </w:p>
    <w:p>
      <w:pPr>
        <w:pStyle w:val="ListBullet"/>
      </w:pPr>
      <w:r>
        <w:t>Validation artifacts for update logs</w:t>
      </w:r>
    </w:p>
    <w:p>
      <w:pPr>
        <w:pStyle w:val="Heading3"/>
      </w:pPr>
      <w:r>
        <w:t>Use case 2: Incremental evidence refresh</w:t>
      </w:r>
    </w:p>
    <w:p>
      <w:r>
        <w:t>Workflow:</w:t>
      </w:r>
    </w:p>
    <w:p>
      <w:pPr>
        <w:pStyle w:val="ListBullet"/>
      </w:pPr>
      <w:r>
        <w:t>Append new demo trial rows to simulate a monthly surveillance cycle.</w:t>
      </w:r>
    </w:p>
    <w:p>
      <w:pPr>
        <w:pStyle w:val="ListBullet"/>
      </w:pPr>
      <w:r>
        <w:t>Re-run analysis and compare updated estimates against baseline.</w:t>
      </w:r>
    </w:p>
    <w:p>
      <w:pPr>
        <w:pStyle w:val="ListBullet"/>
      </w:pPr>
      <w:r>
        <w:t>Record directional changes and certainty comments.</w:t>
      </w:r>
    </w:p>
    <w:p>
      <w:r>
        <w:t>Expected outputs for the manuscript:</w:t>
      </w:r>
    </w:p>
    <w:p>
      <w:pPr>
        <w:pStyle w:val="ListBullet"/>
      </w:pPr>
      <w:r>
        <w:t>Change-over-time evidence summary</w:t>
      </w:r>
    </w:p>
    <w:p>
      <w:pPr>
        <w:pStyle w:val="ListBullet"/>
      </w:pPr>
      <w:r>
        <w:t>Operational template for recurring updates</w:t>
      </w:r>
    </w:p>
    <w:p>
      <w:pPr>
        <w:pStyle w:val="Heading3"/>
      </w:pPr>
      <w:r>
        <w:t>Screenshot interpretation</w:t>
      </w:r>
    </w:p>
    <w:p>
      <w:pPr>
        <w:pStyle w:val="ListBullet"/>
      </w:pPr>
      <w:r>
        <w:t>Figure 1 documents the active analysis interface and confirms operational execution in a browser environment.</w:t>
      </w:r>
    </w:p>
    <w:p>
      <w:pPr>
        <w:pStyle w:val="ListBullet"/>
      </w:pPr>
      <w:r>
        <w:t>During submission, this figure should be paired with a short caption that names the demo dataset and run configuration.</w:t>
      </w:r>
    </w:p>
    <w:p>
      <w:pPr>
        <w:pStyle w:val="Heading3"/>
      </w:pPr>
      <w:r>
        <w:t>Reviewer-facing walkthrough (replicable package check)</w:t>
      </w:r>
    </w:p>
    <w:p>
      <w:r>
        <w:t xml:space="preserve">1. Open the primary application file in </w:t>
      </w:r>
      <w:r>
        <w:t>living-meta</w:t>
      </w:r>
      <w:r>
        <w:t xml:space="preserve"> and load an included demo/example dataset.</w:t>
      </w:r>
    </w:p>
    <w:p>
      <w:r>
        <w:t>2. Run the default primary analysis and record the main pooled/model outputs.</w:t>
      </w:r>
    </w:p>
    <w:p>
      <w:r>
        <w:t>3. Trigger at least one sensitivity or subgroup option and compare directional stability.</w:t>
      </w:r>
    </w:p>
    <w:p>
      <w:r>
        <w:t>4. Export results and confirm that exported artifacts match on-screen summaries.</w:t>
      </w:r>
    </w:p>
    <w:p>
      <w:r>
        <w:t>5. Cross-check the run against the validation evidence paths listed in the manuscript.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Use the demonstration dataset path described in the Use Cases section for a first complete run.</w:t>
      </w:r>
    </w:p>
    <w:p>
      <w:pPr>
        <w:pStyle w:val="ListBullet"/>
      </w:pPr>
      <w:r>
        <w:t>Verify that exported outputs are internally consistent with on-screen results.</w:t>
      </w:r>
    </w:p>
    <w:p>
      <w:pPr>
        <w:pStyle w:val="ListBullet"/>
      </w:pPr>
      <w:r>
        <w:t>Use the validation evidence table and artifact paths to cross-check claims before interpretation.</w:t>
      </w:r>
    </w:p>
    <w:p>
      <w:pPr>
        <w:pStyle w:val="ListBullet"/>
      </w:pPr>
      <w:r>
        <w:t>Treat advanced settings cautiously and report any warnings, convergence notes, or caveats in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The strongest contribution is operational continuity: updates can be rerun with stable settings while preserving interpretation artifacts. The validation documentation supports confidence in the tested numerical and simulation domains against R references.</w:t>
      </w:r>
    </w:p>
    <w:p>
      <w:r>
        <w:t>Limitations include dependence on the covered validation scenarios and the usual constraints of browser-based execution environments. Accordingly, claims are presented as evidence-bounded and should be extended only with additional documented benchmarks.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software is not presented as a universal replacement for all evidence-synthesis platforms.</w:t>
      </w:r>
    </w:p>
    <w:p>
      <w:pPr>
        <w:pStyle w:val="ListBullet"/>
      </w:pPr>
      <w:r>
        <w:t>Utility claims are limited to demonstrated workflows and validated scenarios reported in this package.</w:t>
      </w:r>
    </w:p>
    <w:p>
      <w:pPr>
        <w:pStyle w:val="ListBullet"/>
      </w:pPr>
      <w:r>
        <w:t>Interpretation quality still depends on user method expertise, data quality, and appropriate model selection.</w:t>
      </w:r>
    </w:p>
    <w:p>
      <w:pPr>
        <w:pStyle w:val="ListBullet"/>
      </w:pPr>
      <w:r>
        <w:t>Public repository and DOI archival remain mandatory final-submission requirements for independent long-term reproducibility.</w:t>
      </w:r>
    </w:p>
    <w:p>
      <w:pPr>
        <w:pStyle w:val="Heading2"/>
      </w:pPr>
      <w:r>
        <w:t>Conclusions</w:t>
      </w:r>
    </w:p>
    <w:p>
      <w:r>
        <w:t>Living Meta-Analysis offers a practical, reproducible framework for iterative evidence updates with transparent validation reporting. Completion of final archiving metadata will support formal submission.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overview.</w:t>
      </w:r>
    </w:p>
    <w:p>
      <w:r>
        <w:t>Figure 2. Full-page model/analysis workflow view.</w:t>
      </w:r>
    </w:p>
    <w:p>
      <w:r>
        <w:t>Figure 3. Full-page results view.</w:t>
      </w:r>
    </w:p>
    <w:p>
      <w:r>
        <w:t>Figure 4. Full-page bias/sensitivity or robustness view.</w:t>
      </w:r>
    </w:p>
    <w:p>
      <w:r>
        <w:t>Figure 5. Full-page reporting/export or advanced workflow view.</w:t>
      </w:r>
    </w:p>
    <w:p>
      <w:r>
        <w:t>Additional workflow and architecture visuals are presented in-document through the visual abstract and structured tables.</w:t>
      </w:r>
    </w:p>
    <w:p>
      <w:pPr>
        <w:pStyle w:val="Heading3"/>
      </w:pPr>
      <w:r>
        <w:t>Submission figure files (separate, 300 DPI; screenshots only)</w:t>
      </w:r>
    </w:p>
    <w:p>
      <w:r>
        <w:t>Only full-page screenshots (Figures 1-5) are submitted as separate figure files.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docs\R_COMPARISON_TABLES.md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living-meta</w:t>
      </w:r>
      <w:r>
        <w:t xml:space="preserve"> under </w:t>
      </w:r>
      <w:r>
        <w:t>C:\HTML apps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see manuscript title and application UI version label.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docs\R_COMPARISON_TABLES.md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 xml:space="preserve">. This checklist directly addresses the criticisms documented in </w:t>
      </w:r>
      <w:r>
        <w:t>C:\HTML apps\reviewer Report.txt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browser-based scientific visualization ecosystems.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F1000 Software Tool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