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requirements,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malaria trials registered on ClinicalTrials.gov comply with two reporting requirements — the FDAAA (Food and Drug Administration Amendments Act 2007 §801) results-posting mandate [2] and WHO PCR-correction declaration in primary outcomes [3]?</w:t>
      </w:r>
    </w:p>
    <w:p>
      <w:r>
        <w:rPr>
          <w:b/>
        </w:rPr>
        <w:t>Methods.</w:t>
      </w:r>
      <w:r>
        <w:t xml:space="preserve"> AACT (Aggregate Analysis of ClinicalTrials.gov) snapshot of 2026-04-12 [1]; n = 2,277 registered malaria trials. P01 = fraction of completed trials posting results within 12 months of primary completion. P03 = fraction of drug-efficacy trials whose primary-outcome text declares PCR-correction; strict regex (explicit phrasing) plus broad regex covering ACPR, recrudescence-vs-reinfection, and msp1/msp2/glurp genotyping. Wilson 95 % CIs [5]; year-bins 2004–2024 (NaT dropouts: P01 10.1 %, P03 6.7 %); pre/post Fisher tests; sensitivity on uncomplicated-</w:t>
      </w:r>
      <w:r>
        <w:rPr>
          <w:i/>
        </w:rPr>
        <w:t>P. falciparum</w:t>
      </w:r>
      <w:r>
        <w:t xml:space="preserve"> [6]. No LLM; regex-only.</w:t>
      </w:r>
    </w:p>
    <w:p>
      <w:r>
        <w:rPr>
          <w:b/>
        </w:rPr>
        <w:t>Results.</w:t>
      </w:r>
      <w:r>
        <w:t xml:space="preserve"> Compliance is below target for both mandates: P01 = 7.6 % [6.3, 9.1] of 1,420 completed trials; P03 = 2.8 % [2.0, 3.8] strict / 7.7 % [6.3, 9.3] broad of 1,267 drug-efficacy trials. Trajectories diverge across enactment years: FDAAA results-posting rose from 4.0 % [2.7, 5.7] pre-2017 to 14.5 % [11.8, 17.8] post-2017 (Final Rule, Fisher p &lt; 0.001), while WHO PCR-correction declaration fell from 8.1 % [4.0, 15.9] pre-2009 to 2.3 % [1.6, 3.5] post-2009 (Fisher p = 0.008). Sensitivity on uncomplicated-</w:t>
      </w:r>
      <w:r>
        <w:rPr>
          <w:i/>
        </w:rPr>
        <w:t>P. falciparum</w:t>
      </w:r>
      <w:r>
        <w:t xml:space="preserve"> (n = 161) gave pre-2009 19.2 % [8.5, 37.9] (n_pre = 26) vs post-2009 6.7 % [3.6, 12.2] (Fisher p = 0.05); within the uncomplicated-falciparum subset the same direction holds but the small pre-mandate sample renders the within-subset trend inconclusive.</w:t>
      </w:r>
    </w:p>
    <w:p>
      <w:r>
        <w:rPr>
          <w:b/>
        </w:rPr>
        <w:t>Interpretation.</w:t>
      </w:r>
      <w:r>
        <w:t xml:space="preserve"> FDAAA enforcement moved the needle measurably across nearly two decades; the WHO methodological standard did not. Malaria-specific FDAAA compliance still trails the cross-disease benchmark [4] by roughly threefold, consistent with audit infrastructure — not mandate text alone — being the active ingredient.</w:t>
      </w:r>
    </w:p>
    <w:p>
      <w:r>
        <w:rPr>
          <w:b/>
        </w:rPr>
        <w:t>Limitations.</w:t>
      </w:r>
      <w:r>
        <w:t xml:space="preserve"> P03 strict regex is a lower bound; broad (ACPR-inclusive) is upper. WHO cutoff = 2009 (operational protocol); 2008 yields p = 0.08. The post-2009 decline is partially confounded by portfolio shift toward chemoprevention and mass drug administration (MDA). P01 measures CT.gov results-posting (≠ peer-reviewed publication). Trials registered only in PACTR/CTRI/ISRCTN are outside this corpus.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requirements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(P03, strict regex); WHO 2009 marked. Differing y-axes. Ribbons: pointwise Wilson 95 % CIs; n &lt; 10 shown as open circles.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for Surveillance of Antimalarial Drug Efficacy. Geneva: WHO; 2009.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 Am Stat Assoc 1927;22:209–12. doi:10.1080/01621459.1927.10502953</w:t>
      </w:r>
    </w:p>
    <w:p>
      <w:r>
        <w:t>World Health Organization. Guidelines for the Treatment of Malaria, 3rd ed. Geneva: WHO; 2015.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