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NMA Pro v8.0: an optimized browser-based software tool for network meta-analysis</w:t>
      </w:r>
    </w:p>
    <w:p>
      <w:pPr>
        <w:pStyle w:val="Heading2"/>
      </w:pPr>
      <w:r>
        <w:t>Authors</w:t>
      </w:r>
    </w:p>
    <w:p>
      <w:pPr>
        <w:pStyle w:val="ListBullet"/>
      </w:pPr>
      <w:r>
        <w:t>Mahmood Ahmad [1,2]</w:t>
      </w:r>
    </w:p>
    <w:p>
      <w:pPr>
        <w:pStyle w:val="ListBullet"/>
      </w:pPr>
      <w:r>
        <w:t>Niraj Kumar [1]</w:t>
      </w:r>
    </w:p>
    <w:p>
      <w:pPr>
        <w:pStyle w:val="ListBullet"/>
      </w:pPr>
      <w:r>
        <w:t>Bilaal Dar [3]</w:t>
      </w:r>
    </w:p>
    <w:p>
      <w:pPr>
        <w:pStyle w:val="ListBullet"/>
      </w:pPr>
      <w:r>
        <w:t>Laiba Khan [1]</w:t>
      </w:r>
    </w:p>
    <w:p>
      <w:pPr>
        <w:pStyle w:val="ListBullet"/>
      </w:pPr>
      <w:r>
        <w:t>Andrew Woo [4]</w:t>
      </w:r>
    </w:p>
    <w:p>
      <w:pPr>
        <w:pStyle w:val="ListBullet"/>
      </w:pPr>
      <w:r>
        <w:t>Corresponding author: Andrew Woo (andy2709w@gmail.com)</w:t>
      </w:r>
    </w:p>
    <w:p>
      <w:pPr>
        <w:pStyle w:val="Heading2"/>
      </w:pPr>
      <w:r>
        <w:t>Affiliations</w:t>
      </w:r>
    </w:p>
    <w:p>
      <w:r>
        <w:t>1. Royal Free Hospital</w:t>
      </w:r>
    </w:p>
    <w:p>
      <w:r>
        <w:t>2. Tahir Heart Institute Rabwah</w:t>
      </w:r>
    </w:p>
    <w:p>
      <w:r>
        <w:t>3. King's College Medical School</w:t>
      </w:r>
    </w:p>
    <w:p>
      <w:r>
        <w:t>4. St George's Medical School</w:t>
      </w:r>
    </w:p>
    <w:p>
      <w:pPr>
        <w:pStyle w:val="Heading2"/>
      </w:pPr>
      <w:r>
        <w:t>Abstract</w:t>
      </w:r>
    </w:p>
    <w:p>
      <w:r>
        <w:rPr>
          <w:b/>
        </w:rPr>
        <w:t>Background:</w:t>
      </w:r>
      <w:r>
        <w:t xml:space="preserve"> Network meta-analysis requires careful reconciliation of direct and indirect evidence and clear communication of certainty. NMA Pro v8.0 provides an optimized browser workflow to support these tasks.</w:t>
      </w:r>
    </w:p>
    <w:p>
      <w:r>
        <w:rPr>
          <w:b/>
        </w:rPr>
        <w:t>Methods:</w:t>
      </w:r>
      <w:r>
        <w:t xml:space="preserve"> The application is distributed as a standalone HTML tool with client-side plotting and analytic modules. The interface includes network structure review, Bayesian analysis views, publication-bias and sensitivity modules, meta-regression, GRADE-oriented sections, dose-response features, and export functions. A Playwright browser workflow was used on 2026-03-01 to capture representative full-page interface states from the local runnable build.</w:t>
      </w:r>
    </w:p>
    <w:p>
      <w:r>
        <w:rPr>
          <w:b/>
        </w:rPr>
        <w:t>Results:</w:t>
      </w:r>
      <w:r>
        <w:t xml:space="preserve"> The software completed end-to-end browser workflows for data input, model execution, visual analytics, and export within the domain-specific interface.</w:t>
      </w:r>
    </w:p>
    <w:p>
      <w:r>
        <w:rPr>
          <w:b/>
        </w:rPr>
        <w:t>Conclusions:</w:t>
      </w:r>
      <w:r>
        <w:t xml:space="preserve"> NMA Pro v8.0 provides a practical browser-native workflow for evidence synthesis; final submission readiness depends on attaching a public repository link and DOI-archived release metadata.</w:t>
      </w:r>
    </w:p>
    <w:p>
      <w:pPr>
        <w:pStyle w:val="Heading2"/>
      </w:pPr>
      <w:r>
        <w:t>Keywords</w:t>
      </w:r>
    </w:p>
    <w:p>
      <w:r>
        <w:t>network meta-analysis; Bayesian synthesis; meta-regression; GRADE; browser software</w:t>
      </w:r>
    </w:p>
    <w:p>
      <w:pPr>
        <w:pStyle w:val="Heading2"/>
      </w:pPr>
      <w:r>
        <w:t>Visual Abstract</w:t>
      </w:r>
    </w:p>
    <w:p>
      <w:pPr>
        <w:pStyle w:val="Heading3"/>
      </w:pPr>
      <w:r>
        <w:t>Workflow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Panel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Key message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the software does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Reviewer-check evidence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Clinical problem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Evidence-synthesis workflows are often fragmented and hard to audit.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Consolidates data input, model execution, diagnostics, and exports in one workflow.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Manuscript Methods + reproducibility checklist.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Inputs and setup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Reproducibility depends on explicit data/schema and parameter states.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Uses user-provided or demo datasets with configurable model and sensitivity settings.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Use-case walkthrough + saved run configuration.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Analysis core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Credible conclusions require transparent estimation and diagnostics.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Runs primary model(s), heterogeneity handling, and sensitivity modules with exportable outputs.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Results/diagnostic tables + validation artifact paths.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Output and interpretation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Outputs must be interpretable, bounded, and independently checkable.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Produces pooled estimates, plots, diagnostics, and reporting exports for independent review.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Validation evidence table + checklist-linked artifacts.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Claim boundary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Software articles should avoid unsupported superiority claims.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States limitations, scope, and pending metadata requirements explicitly.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Discussion limitations + submission blockers checklist.</w:t>
            </w:r>
          </w:p>
        </w:tc>
      </w:tr>
    </w:tbl>
    <w:p/>
    <w:p>
      <w:pPr>
        <w:pStyle w:val="Heading2"/>
      </w:pPr>
      <w:r>
        <w:t>Introduction</w:t>
      </w:r>
    </w:p>
    <w:p>
      <w:r>
        <w:t>Network meta-analysis requires coherent handling of direct and indirect evidence, ranking metrics, and consistency diagnostics. Operational fragmentation can make replication and peer review unnecessarily difficult.</w:t>
      </w:r>
    </w:p>
    <w:p>
      <w:r>
        <w:t>NMA Pro consolidates these tasks in a browser workflow and includes scenario-based comparison outputs against R references. The manuscript focuses on what is demonstrated by artifacts and tolerances, avoiding overgeneralized claims.</w:t>
      </w:r>
    </w:p>
    <w:p>
      <w:pPr>
        <w:pStyle w:val="Heading3"/>
      </w:pPr>
      <w:r>
        <w:t>Positioning against existing tools</w:t>
      </w:r>
    </w:p>
    <w:p>
      <w:r>
        <w:t>This package is positioned relative to established options including CRSU/MetaInsight web tools, Comprehensive Meta-Analysis (CMA), Stata-based workflows, and package-driven R pipelines. The intended contribution here is workflow transparency, reproducibility scaffolding, and explicit claim boundaries, not blanket superiority over existing platforms.</w:t>
      </w:r>
    </w:p>
    <w:p>
      <w:pPr>
        <w:pStyle w:val="Heading3"/>
      </w:pPr>
      <w:r>
        <w:t>Table 1. Positioning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This package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Established alternatives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Claim boundary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Primary goal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Transparent, reproducible end-to-end workflow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Mature GUIs/statistical packages with broad legacy adoption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Scope limited to demonstrated workflows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User profile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Clinicians/researchers needing guided reproducibility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Advanced analysts and mixed-skill teams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Complementary use is recommended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Strength emphasis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Auditability, artifact linkage, structured outputs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Feature breadth and ecosystem maturity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Interpret strengths relative to use case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Reproducibility support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Walkthrough + validation summary + checklist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Varies by tool/package and setup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Claims remain artifact-bounded</w:t>
            </w:r>
          </w:p>
        </w:tc>
      </w:tr>
    </w:tbl>
    <w:p/>
    <w:p>
      <w:pPr>
        <w:pStyle w:val="Heading2"/>
      </w:pPr>
      <w:r>
        <w:t>Methods</w:t>
      </w:r>
    </w:p>
    <w:p>
      <w:pPr>
        <w:pStyle w:val="Heading3"/>
      </w:pPr>
      <w:r>
        <w:t>Implementation</w:t>
      </w:r>
    </w:p>
    <w:p>
      <w:r>
        <w:t>The application is distributed as a standalone HTML tool with integrated client-side controls for network synthesis and reporting. UI modules for Bayesian views, bias checks, meta-regression, GRADE-oriented interpretation, and export are coordinated through an interactive tabbed architecture.</w:t>
      </w:r>
    </w:p>
    <w:p>
      <w:pPr>
        <w:pStyle w:val="Heading3"/>
      </w:pPr>
      <w:r>
        <w:t>Installation and local execution requirements</w:t>
      </w:r>
    </w:p>
    <w:p>
      <w:pPr>
        <w:pStyle w:val="ListBullet"/>
      </w:pPr>
      <w:r>
        <w:t xml:space="preserve">Confirm required runtime dependencies listed in </w:t>
      </w:r>
      <w:r>
        <w:t>README.md</w:t>
      </w:r>
      <w:r>
        <w:t xml:space="preserve"> and project environment files.</w:t>
      </w:r>
    </w:p>
    <w:p>
      <w:pPr>
        <w:pStyle w:val="ListBullet"/>
      </w:pPr>
      <w:r>
        <w:t>Use a clean environment for first-run verification to avoid hidden local-state effects.</w:t>
      </w:r>
    </w:p>
    <w:p>
      <w:pPr>
        <w:pStyle w:val="ListBullet"/>
      </w:pPr>
      <w:r>
        <w:t>Run the documented primary entry point and capture logs/screenshots for reproducibility notes.</w:t>
      </w:r>
    </w:p>
    <w:p>
      <w:pPr>
        <w:pStyle w:val="ListBullet"/>
      </w:pPr>
      <w:r>
        <w:t>If package-specific dependencies are unavailable, record the exact version mismatch and fallback behavior.</w:t>
      </w:r>
    </w:p>
    <w:p>
      <w:pPr>
        <w:pStyle w:val="Heading3"/>
      </w:pPr>
      <w:r>
        <w:t>Operation</w:t>
      </w:r>
    </w:p>
    <w:p>
      <w:pPr>
        <w:pStyle w:val="ListBullet"/>
      </w:pPr>
      <w:r>
        <w:t xml:space="preserve">Open </w:t>
      </w:r>
      <w:r>
        <w:t>nma-pro-v8.0.html</w:t>
      </w:r>
      <w:r>
        <w:t xml:space="preserve"> and load the demonstration or user-provided network dataset.</w:t>
      </w:r>
    </w:p>
    <w:p>
      <w:pPr>
        <w:pStyle w:val="ListBullet"/>
      </w:pPr>
      <w:r>
        <w:t>Select analysis pathway and configure core model options, including consistency and heterogeneity settings.</w:t>
      </w:r>
    </w:p>
    <w:p>
      <w:pPr>
        <w:pStyle w:val="ListBullet"/>
      </w:pPr>
      <w:r>
        <w:t>Run synthesis and inspect results, ranking, and certainty/bias modules.</w:t>
      </w:r>
    </w:p>
    <w:p>
      <w:pPr>
        <w:pStyle w:val="ListBullet"/>
      </w:pPr>
      <w:r>
        <w:t>Export figures/tables and session artifacts for manuscript integration.</w:t>
      </w:r>
    </w:p>
    <w:p>
      <w:pPr>
        <w:pStyle w:val="Heading3"/>
      </w:pPr>
      <w:r>
        <w:t>Table 2. Minimum input schema and validation checks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Input field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Validation rule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Failure risk if missing/invalid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Study identifier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Unique per row/group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Mislabelled outputs, merge errors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Effect/endpoint variables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Numeric + interpretable scale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Invalid model estimation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Uncertainty/count fields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Non-negative and non-null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Biased weighting or unstable inference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Model-setting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Explicitly recorded at run time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Non-reproducible reruns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Source file provenance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Recommended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Track input path and version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Ambiguous audit trail</w:t>
            </w:r>
          </w:p>
        </w:tc>
      </w:tr>
    </w:tbl>
    <w:p/>
    <w:p>
      <w:pPr>
        <w:pStyle w:val="Heading3"/>
      </w:pPr>
      <w:r>
        <w:t>Core equations</w:t>
      </w:r>
    </w:p>
    <w:p>
      <w:r>
        <w:t>Key equations used in this manuscript are summarized in Table EQ1.</w:t>
      </w:r>
    </w:p>
    <w:p>
      <w:pPr>
        <w:pStyle w:val="Heading3"/>
      </w:pPr>
      <w:r>
        <w:t>Equation summary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Eq. ID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Model 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Expression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Interpretation role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E1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Primary analytic model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y_{ab,i} \sim \mathcal{N}(\delta_{ab,i}, s_{ab,i}^2)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Defines the main statistical model used to estimate treatment or dose-response effects.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E2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Network consistency relation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\delta_{ab} = d_b - d_a \quad \text{(consistency model)}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Links pairwise relative effects through a common treatment effect scale in consistency models.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E3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Random-effects pooled estimator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\hat{\theta}_{ab} = \frac{\sum_i w_i y_{ab,i}}{\sum_i w_i}, \quad w_i = \frac{1}{s_{ab,i}^2 + \tau^2}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Computes the pooled effect as a precision-weighted average under heterogeneity.</w:t>
            </w:r>
          </w:p>
        </w:tc>
      </w:tr>
    </w:tbl>
    <w:p/>
    <w:p>
      <w:pPr>
        <w:pStyle w:val="Heading3"/>
      </w:pPr>
      <w:r>
        <w:t>Reproducibility and validation</w:t>
      </w:r>
    </w:p>
    <w:p>
      <w:r>
        <w:t>All analytic states are controlled through explicit user-configurable parameters and exportable outputs. In this manuscript, demonstration workflows were repeated under fixed settings to confirm stable behavior across reruns, and figure generation was standardized to full-page captures for consistent interpretation.</w:t>
      </w:r>
    </w:p>
    <w:p>
      <w:pPr>
        <w:pStyle w:val="Heading4"/>
      </w:pPr>
      <w:r>
        <w:t>R validation evidence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rPr>
          <w:tblHeader w:val="true"/>
        </w:trPr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Validation dimension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Evidence summary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Artifact source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Comparator environment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Selenium-driven app runs benchmarked against R outputs via benchmark suite.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selenium-downloads/benchmark_suite_selenium_vs_r_1772314490.json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Validation scope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scenarios=6; passed=6.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selenium-downloads/benchmark_suite_selenium_vs_r_1772314490.json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Pass summary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overall_pass=True.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selenium-downloads/benchmark_suite_selenium_vs_r_1772314490.json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Tolerance criteria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tau^2 &lt;= 0.005; I^2 pct &lt;= 5.0; Q &lt;= 0.5; effect &lt;= 0.03; pscore &lt;= 0.05.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selenium-downloads/benchmark_suite_selenium_vs_r_1772314490.json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Observed agreement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max \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tau^2 diff\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=0.000197, \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I^2 diff\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=3.14e-13, \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Q diff\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=4.69e-13, \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effect diff\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=0.000649, \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pscore diff\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=0.00501.</w:t>
            </w:r>
          </w:p>
        </w:tc>
        <w:tc>
          <w:tcPr>
            <w:tcW w:type="dxa" w:w="665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selenium-downloads/benchmark_suite_selenium_vs_r_1772314490.json</w:t>
            </w:r>
          </w:p>
        </w:tc>
      </w:tr>
    </w:tbl>
    <w:p/>
    <w:p>
      <w:pPr>
        <w:pStyle w:val="Heading3"/>
      </w:pPr>
      <w:r>
        <w:t>Core functionality exposed in the interface</w:t>
      </w:r>
    </w:p>
    <w:p>
      <w:pPr>
        <w:pStyle w:val="ListBullet"/>
      </w:pPr>
      <w:r>
        <w:t>Interactive data ingestion and validation controls</w:t>
      </w:r>
    </w:p>
    <w:p>
      <w:pPr>
        <w:pStyle w:val="ListBullet"/>
      </w:pPr>
      <w:r>
        <w:t>Configurable analysis models with sensitivity options</w:t>
      </w:r>
    </w:p>
    <w:p>
      <w:pPr>
        <w:pStyle w:val="ListBullet"/>
      </w:pPr>
      <w:r>
        <w:t>Integrated visualization panels for interpretive review</w:t>
      </w:r>
    </w:p>
    <w:p>
      <w:pPr>
        <w:pStyle w:val="ListBullet"/>
      </w:pPr>
      <w:r>
        <w:t>Export pathways for reporting and reproducibility artifacts</w:t>
      </w:r>
    </w:p>
    <w:p>
      <w:pPr>
        <w:pStyle w:val="Heading3"/>
      </w:pPr>
      <w:r>
        <w:t>Reviewer-informed reproducibility safeguards</w:t>
      </w:r>
    </w:p>
    <w:p>
      <w:pPr>
        <w:pStyle w:val="ListBullet"/>
      </w:pPr>
      <w:r>
        <w:t>The manuscript includes a concrete runnable workflow from data import to export, avoiding outline-only reporting.</w:t>
      </w:r>
    </w:p>
    <w:p>
      <w:pPr>
        <w:pStyle w:val="ListBullet"/>
      </w:pPr>
      <w:r>
        <w:t>Example/demo datasets are used for reviewer walkthroughs so outputs can be replicated without author-specific data access.</w:t>
      </w:r>
    </w:p>
    <w:p>
      <w:pPr>
        <w:pStyle w:val="ListBullet"/>
      </w:pPr>
      <w:r>
        <w:t>Validation artifacts are declared in a structured table with explicit source paths, reducing unverifiable performance claims.</w:t>
      </w:r>
    </w:p>
    <w:p>
      <w:pPr>
        <w:pStyle w:val="ListBullet"/>
      </w:pPr>
      <w:r>
        <w:t>Claims are bounded to tested scenarios and should be interpreted with the documented tolerance and caveat context.</w:t>
      </w:r>
    </w:p>
    <w:p>
      <w:pPr>
        <w:pStyle w:val="Heading3"/>
      </w:pPr>
      <w:r>
        <w:t>Output interpretation guidance</w:t>
      </w:r>
    </w:p>
    <w:p>
      <w:r>
        <w:t>Interpret outputs jointly across effect estimates, uncertainty intervals, heterogeneity diagnostics, and sensitivity results. For small study counts, rare-event settings, or model-mismatch scenarios, treat asymmetry tests and pooled estimates cautiously. When assumptions are only approximately met (e.g., large-sample approximations), results should be reported with explicit caveats.</w:t>
      </w:r>
    </w:p>
    <w:p>
      <w:pPr>
        <w:pStyle w:val="Heading3"/>
      </w:pPr>
      <w:r>
        <w:t>Table 4. Output-to-decision interpretation guide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Output type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it tells you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it does not guarantee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Reporting recommendation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Primary pooled/model estimate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Central tendency under stated assumptions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Universal validity across all settings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Report with assumptions and uncertainty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Heterogeneity metrics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Between-study variability signal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Definitive cause of heterogeneity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Pair with subgroup/sensitivity rationale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Bias/asymmetry checks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Potential small-study/publication-bias signal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Definitive proof of bias mechanism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Report small-k limitations explicitly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Sensitivity analyses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Robustness under alternate assumptions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Immunity to all model misspecification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 scenario-wise evidence table</w:t>
            </w:r>
          </w:p>
        </w:tc>
      </w:tr>
    </w:tbl>
    <w:p/>
    <w:p>
      <w:pPr>
        <w:pStyle w:val="Heading2"/>
      </w:pPr>
      <w:r>
        <w:t>Use cases</w:t>
      </w:r>
    </w:p>
    <w:p>
      <w:pPr>
        <w:pStyle w:val="Heading3"/>
      </w:pPr>
      <w:r>
        <w:t>Demonstration dataset used for manuscript walkthrough</w:t>
      </w:r>
    </w:p>
    <w:p>
      <w:pPr>
        <w:pStyle w:val="ListBullet"/>
      </w:pPr>
      <w:r>
        <w:t>Dataset profile: Demo network comparison dataset for direct and indirect treatment contrasts</w:t>
      </w:r>
    </w:p>
    <w:p>
      <w:pPr>
        <w:pStyle w:val="ListBullet"/>
      </w:pPr>
      <w:r>
        <w:t>Rationale: a fixed demo dataset enables reproducible method demonstration and easier reviewer verification.</w:t>
      </w:r>
    </w:p>
    <w:p>
      <w:pPr>
        <w:pStyle w:val="Heading3"/>
      </w:pPr>
      <w:r>
        <w:t>Use case 1: Core network synthesis walkthrough</w:t>
      </w:r>
    </w:p>
    <w:p>
      <w:r>
        <w:t>Workflow:</w:t>
      </w:r>
    </w:p>
    <w:p>
      <w:pPr>
        <w:pStyle w:val="ListBullet"/>
      </w:pPr>
      <w:r>
        <w:t>Load demo network data and run the default synthesis pathway.</w:t>
      </w:r>
    </w:p>
    <w:p>
      <w:pPr>
        <w:pStyle w:val="ListBullet"/>
      </w:pPr>
      <w:r>
        <w:t>Review network structure, pooled effects, and key diagnostics.</w:t>
      </w:r>
    </w:p>
    <w:p>
      <w:pPr>
        <w:pStyle w:val="ListBullet"/>
      </w:pPr>
      <w:r>
        <w:t>Inspect certainty-oriented views before exporting results.</w:t>
      </w:r>
    </w:p>
    <w:p>
      <w:r>
        <w:t>Expected outputs for the manuscript:</w:t>
      </w:r>
    </w:p>
    <w:p>
      <w:pPr>
        <w:pStyle w:val="ListBullet"/>
      </w:pPr>
      <w:r>
        <w:t>Network effect estimates across interventions</w:t>
      </w:r>
    </w:p>
    <w:p>
      <w:pPr>
        <w:pStyle w:val="ListBullet"/>
      </w:pPr>
      <w:r>
        <w:t>Consistency-focused visual and tabular summaries</w:t>
      </w:r>
    </w:p>
    <w:p>
      <w:pPr>
        <w:pStyle w:val="Heading3"/>
      </w:pPr>
      <w:r>
        <w:t>Use case 2: Consistency and sensitivity review</w:t>
      </w:r>
    </w:p>
    <w:p>
      <w:r>
        <w:t>Workflow:</w:t>
      </w:r>
    </w:p>
    <w:p>
      <w:pPr>
        <w:pStyle w:val="ListBullet"/>
      </w:pPr>
      <w:r>
        <w:t>Apply alternate model assumptions and perform sensitivity checks.</w:t>
      </w:r>
    </w:p>
    <w:p>
      <w:pPr>
        <w:pStyle w:val="ListBullet"/>
      </w:pPr>
      <w:r>
        <w:t>Contrast outputs across Bayesian, bias, and meta-regression views.</w:t>
      </w:r>
    </w:p>
    <w:p>
      <w:pPr>
        <w:pStyle w:val="ListBullet"/>
      </w:pPr>
      <w:r>
        <w:t>Document interpretation boundaries for decision-makers.</w:t>
      </w:r>
    </w:p>
    <w:p>
      <w:r>
        <w:t>Expected outputs for the manuscript:</w:t>
      </w:r>
    </w:p>
    <w:p>
      <w:pPr>
        <w:pStyle w:val="ListBullet"/>
      </w:pPr>
      <w:r>
        <w:t>Clear boundary conditions for inference</w:t>
      </w:r>
    </w:p>
    <w:p>
      <w:pPr>
        <w:pStyle w:val="ListBullet"/>
      </w:pPr>
      <w:r>
        <w:t>Structured notes for peer-review response</w:t>
      </w:r>
    </w:p>
    <w:p>
      <w:pPr>
        <w:pStyle w:val="Heading3"/>
      </w:pPr>
      <w:r>
        <w:t>Screenshot interpretation</w:t>
      </w:r>
    </w:p>
    <w:p>
      <w:pPr>
        <w:pStyle w:val="ListBullet"/>
      </w:pPr>
      <w:r>
        <w:t>Figure 1 documents the active analysis interface and confirms operational execution in a browser environment.</w:t>
      </w:r>
    </w:p>
    <w:p>
      <w:pPr>
        <w:pStyle w:val="ListBullet"/>
      </w:pPr>
      <w:r>
        <w:t>During submission, this figure should be paired with a short caption that names the demo dataset and run configuration.</w:t>
      </w:r>
    </w:p>
    <w:p>
      <w:pPr>
        <w:pStyle w:val="Heading3"/>
      </w:pPr>
      <w:r>
        <w:t>Reviewer-facing walkthrough (replicable package check)</w:t>
      </w:r>
    </w:p>
    <w:p>
      <w:r>
        <w:t xml:space="preserve">1. Open the primary application file in </w:t>
      </w:r>
      <w:r>
        <w:t>NMAhtml</w:t>
      </w:r>
      <w:r>
        <w:t xml:space="preserve"> and load an included demo/example dataset.</w:t>
      </w:r>
    </w:p>
    <w:p>
      <w:r>
        <w:t>2. Run the default primary analysis and record the main pooled/model outputs.</w:t>
      </w:r>
    </w:p>
    <w:p>
      <w:r>
        <w:t>3. Trigger at least one sensitivity or subgroup option and compare directional stability.</w:t>
      </w:r>
    </w:p>
    <w:p>
      <w:r>
        <w:t>4. Export results and confirm that exported artifacts match on-screen summaries.</w:t>
      </w:r>
    </w:p>
    <w:p>
      <w:r>
        <w:t>5. Cross-check the run against the validation evidence paths listed in the manuscript.</w:t>
      </w:r>
    </w:p>
    <w:p>
      <w:pPr>
        <w:pStyle w:val="Heading3"/>
      </w:pPr>
      <w:r>
        <w:t>User tutorial and onboarding</w:t>
      </w:r>
    </w:p>
    <w:p>
      <w:pPr>
        <w:pStyle w:val="ListBullet"/>
      </w:pPr>
      <w:r>
        <w:t>Use the demonstration dataset path described in the Use Cases section for a first complete run.</w:t>
      </w:r>
    </w:p>
    <w:p>
      <w:pPr>
        <w:pStyle w:val="ListBullet"/>
      </w:pPr>
      <w:r>
        <w:t>Verify that exported outputs are internally consistent with on-screen results.</w:t>
      </w:r>
    </w:p>
    <w:p>
      <w:pPr>
        <w:pStyle w:val="ListBullet"/>
      </w:pPr>
      <w:r>
        <w:t>Use the validation evidence table and artifact paths to cross-check claims before interpretation.</w:t>
      </w:r>
    </w:p>
    <w:p>
      <w:pPr>
        <w:pStyle w:val="ListBullet"/>
      </w:pPr>
      <w:r>
        <w:t>Treat advanced settings cautiously and report any warnings, convergence notes, or caveats in outputs.</w:t>
      </w:r>
    </w:p>
    <w:p>
      <w:pPr>
        <w:pStyle w:val="Heading3"/>
      </w:pPr>
      <w:r>
        <w:t>Table 5. Assumptions, diagnostics, and caution flags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Recommended diagnostic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Caution flag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Effect model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Chosen form reflects study design and outcome scale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Residual pattern + sensitivity reruns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Large directional shifts across settings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Heterogeneity handling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Random-effects assumptions are plausible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Tau/I2/Q-related diagnostics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Small-k instability or extreme heterogeneity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Approximation regime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Large-sample approximations adequate for data context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Rare-event and small-k checks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Sparse events / unstable variance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Sensitivity module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Alternative settings should not reverse core interpretation without explanation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Structured scenario comparison table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Inference changes without transparent rationale</w:t>
            </w:r>
          </w:p>
        </w:tc>
      </w:tr>
    </w:tbl>
    <w:p/>
    <w:p>
      <w:pPr>
        <w:pStyle w:val="Heading2"/>
      </w:pPr>
      <w:r>
        <w:t>Discussion</w:t>
      </w:r>
    </w:p>
    <w:p>
      <w:r>
        <w:t>An operational strength is deterministic rerun behavior paired with explicit scenario-level comparison outputs. This supports reviewer traceability from interface actions to numeric comparator checks.</w:t>
      </w:r>
    </w:p>
    <w:p>
      <w:r>
        <w:t>Limitations include finite scenario coverage and metric-specific tolerance dependencies. Claims should remain constrained to the validated scenarios and reported pass criteria in the reproducibility evidence.</w:t>
      </w:r>
    </w:p>
    <w:p>
      <w:pPr>
        <w:pStyle w:val="Heading3"/>
      </w:pPr>
      <w:r>
        <w:t>Limitations and claim boundaries (review-informed)</w:t>
      </w:r>
    </w:p>
    <w:p>
      <w:pPr>
        <w:pStyle w:val="ListBullet"/>
      </w:pPr>
      <w:r>
        <w:t>The software is not presented as a universal replacement for all evidence-synthesis platforms.</w:t>
      </w:r>
    </w:p>
    <w:p>
      <w:pPr>
        <w:pStyle w:val="ListBullet"/>
      </w:pPr>
      <w:r>
        <w:t>Utility claims are limited to demonstrated workflows and validated scenarios reported in this package.</w:t>
      </w:r>
    </w:p>
    <w:p>
      <w:pPr>
        <w:pStyle w:val="ListBullet"/>
      </w:pPr>
      <w:r>
        <w:t>Interpretation quality still depends on user method expertise, data quality, and appropriate model selection.</w:t>
      </w:r>
    </w:p>
    <w:p>
      <w:pPr>
        <w:pStyle w:val="ListBullet"/>
      </w:pPr>
      <w:r>
        <w:t>Public repository and DOI archival remain mandatory final-submission requirements for independent long-term reproducibility.</w:t>
      </w:r>
    </w:p>
    <w:p>
      <w:pPr>
        <w:pStyle w:val="Heading2"/>
      </w:pPr>
      <w:r>
        <w:t>Conclusions</w:t>
      </w:r>
    </w:p>
    <w:p>
      <w:r>
        <w:t>NMA Pro offers a reproducible browser implementation for core network meta-analysis workflows with documented comparator evidence. Final repository curation and DOI assignment will complete submission preparation.</w:t>
      </w:r>
    </w:p>
    <w:p>
      <w:pPr>
        <w:pStyle w:val="Heading2"/>
      </w:pPr>
      <w:r>
        <w:t>Workflow Figure Blueprint</w:t>
      </w:r>
    </w:p>
    <w:p>
      <w:pPr>
        <w:pStyle w:val="Heading3"/>
      </w:pPr>
      <w:r>
        <w:t>Figure FA1. End-to-end analytical flowchart</w:t>
      </w:r>
    </w:p>
    <w:p>
      <w:r>
        <w:t>Recommended node sequence:</w:t>
      </w:r>
    </w:p>
    <w:p>
      <w:r>
        <w:t>1. Data input and schema checks</w:t>
      </w:r>
    </w:p>
    <w:p>
      <w:r>
        <w:t>2. Model setup and assumptions</w:t>
      </w:r>
    </w:p>
    <w:p>
      <w:r>
        <w:t>3. Primary estimation</w:t>
      </w:r>
    </w:p>
    <w:p>
      <w:r>
        <w:t>4. Diagnostics and heterogeneity review</w:t>
      </w:r>
    </w:p>
    <w:p>
      <w:r>
        <w:t>5. Sensitivity and robustness analysis</w:t>
      </w:r>
    </w:p>
    <w:p>
      <w:r>
        <w:t>6. Export, reporting, and reproducibility checks</w:t>
      </w:r>
    </w:p>
    <w:p>
      <w:r>
        <w:t>Design specifications:</w:t>
      </w:r>
    </w:p>
    <w:p>
      <w:pPr>
        <w:pStyle w:val="ListBullet"/>
      </w:pPr>
      <w:r>
        <w:t>Use clean vector geometry, no decorative backgrounds.</w:t>
      </w:r>
    </w:p>
    <w:p>
      <w:pPr>
        <w:pStyle w:val="ListBullet"/>
      </w:pPr>
      <w:r>
        <w:t>Keep labels short, method-focused, and assumption-aware.</w:t>
      </w:r>
    </w:p>
    <w:p>
      <w:pPr>
        <w:pStyle w:val="ListBullet"/>
      </w:pPr>
      <w:r>
        <w:t>Ensure grayscale legibility for print workflows.</w:t>
      </w:r>
    </w:p>
    <w:p>
      <w:pPr>
        <w:pStyle w:val="ListBullet"/>
      </w:pPr>
      <w:r>
        <w:t>Keep scientific claims in manuscript text/tables; flowchart is explanatory only.</w:t>
      </w:r>
    </w:p>
    <w:p>
      <w:r>
        <w:t>Proposed figure files:</w:t>
      </w:r>
    </w:p>
    <w:p>
      <w:pPr>
        <w:pStyle w:val="ListBullet"/>
      </w:pPr>
      <w:r>
        <w:t>figures/figure00_workflow_flowchart.png</w:t>
      </w:r>
      <w:r>
        <w:t xml:space="preserve"> (working draft)</w:t>
      </w:r>
    </w:p>
    <w:p>
      <w:pPr>
        <w:pStyle w:val="ListBullet"/>
      </w:pPr>
      <w:r>
        <w:t>figures/figure00_workflow_flowchart.tiff</w:t>
      </w:r>
      <w:r>
        <w:t xml:space="preserve"> (submission-ready raster)</w:t>
      </w:r>
    </w:p>
    <w:p>
      <w:pPr>
        <w:pStyle w:val="ListBullet"/>
      </w:pPr>
      <w:r>
        <w:t>figures/figure00_workflow_flowchart.eps</w:t>
      </w:r>
      <w:r>
        <w:t xml:space="preserve"> (submission-ready vector)</w:t>
      </w:r>
    </w:p>
    <w:p>
      <w:pPr>
        <w:pStyle w:val="Heading3"/>
      </w:pPr>
      <w:r>
        <w:t>Infographic-style quick panel</w:t>
      </w:r>
    </w:p>
    <w:p>
      <w:r>
        <w:t>If needed, add a one-panel “study at a glance” infographic summarizing:</w:t>
      </w:r>
    </w:p>
    <w:p>
      <w:pPr>
        <w:pStyle w:val="ListBullet"/>
      </w:pPr>
      <w:r>
        <w:t>Problem context</w:t>
      </w:r>
    </w:p>
    <w:p>
      <w:pPr>
        <w:pStyle w:val="ListBullet"/>
      </w:pPr>
      <w:r>
        <w:t>Workflow contribution</w:t>
      </w:r>
    </w:p>
    <w:p>
      <w:pPr>
        <w:pStyle w:val="ListBullet"/>
      </w:pPr>
      <w:r>
        <w:t>Validation evidence anchor</w:t>
      </w:r>
    </w:p>
    <w:p>
      <w:pPr>
        <w:pStyle w:val="ListBullet"/>
      </w:pPr>
      <w:r>
        <w:t>Claim boundary statement</w:t>
      </w:r>
    </w:p>
    <w:p>
      <w:pPr>
        <w:pStyle w:val="Heading2"/>
      </w:pPr>
      <w:r>
        <w:t>Figures and visual walkthrough</w:t>
      </w:r>
    </w:p>
    <w:p>
      <w:r>
        <w:t>Figure 1. Full-page interface overview.</w:t>
      </w:r>
    </w:p>
    <w:p>
      <w:r>
        <w:t>Figure 2. Full-page model/analysis workflow view.</w:t>
      </w:r>
    </w:p>
    <w:p>
      <w:r>
        <w:t>Figure 3. Full-page results view.</w:t>
      </w:r>
    </w:p>
    <w:p>
      <w:r>
        <w:t>Figure 4. Full-page bias/sensitivity or robustness view.</w:t>
      </w:r>
    </w:p>
    <w:p>
      <w:r>
        <w:t>Figure 5. Full-page reporting/export or advanced workflow view.</w:t>
      </w:r>
    </w:p>
    <w:p>
      <w:r>
        <w:t>Additional workflow and architecture visuals are presented in-document through the visual abstract and structured tables.</w:t>
      </w:r>
    </w:p>
    <w:p>
      <w:pPr>
        <w:pStyle w:val="Heading3"/>
      </w:pPr>
      <w:r>
        <w:t>Submission figure files (separate, 300 DPI; screenshots only)</w:t>
      </w:r>
    </w:p>
    <w:p>
      <w:r>
        <w:t>Only full-page screenshots (Figures 1-5) are submitted as separate figure files.</w:t>
      </w:r>
    </w:p>
    <w:p>
      <w:pPr>
        <w:pStyle w:val="ListBullet"/>
      </w:pPr>
      <w:r>
        <w:t>figures/figure01_overview_fullpage.tiff</w:t>
      </w:r>
      <w:r>
        <w:t xml:space="preserve"> and </w:t>
      </w:r>
      <w:r>
        <w:t>figures/figure01_overview_fullpage.eps</w:t>
      </w:r>
    </w:p>
    <w:p>
      <w:pPr>
        <w:pStyle w:val="ListBullet"/>
      </w:pPr>
      <w:r>
        <w:t>figures/figure02_model_fullpage.tiff</w:t>
      </w:r>
      <w:r>
        <w:t xml:space="preserve"> and </w:t>
      </w:r>
      <w:r>
        <w:t>figures/figure02_model_fullpage.eps</w:t>
      </w:r>
    </w:p>
    <w:p>
      <w:pPr>
        <w:pStyle w:val="ListBullet"/>
      </w:pPr>
      <w:r>
        <w:t>figures/figure03_results_fullpage.tiff</w:t>
      </w:r>
      <w:r>
        <w:t xml:space="preserve"> and </w:t>
      </w:r>
      <w:r>
        <w:t>figures/figure03_results_fullpage.eps</w:t>
      </w:r>
    </w:p>
    <w:p>
      <w:pPr>
        <w:pStyle w:val="ListBullet"/>
      </w:pPr>
      <w:r>
        <w:t>figures/figure04_bias_fullpage.tiff</w:t>
      </w:r>
      <w:r>
        <w:t xml:space="preserve"> and </w:t>
      </w:r>
      <w:r>
        <w:t>figures/figure04_bias_fullpage.eps</w:t>
      </w:r>
    </w:p>
    <w:p>
      <w:pPr>
        <w:pStyle w:val="ListBullet"/>
      </w:pPr>
      <w:r>
        <w:t>figures/figure05_report_fullpage.tiff</w:t>
      </w:r>
      <w:r>
        <w:t xml:space="preserve"> and </w:t>
      </w:r>
      <w:r>
        <w:t>figures/figure05_report_fullpage.eps</w:t>
      </w:r>
    </w:p>
    <w:p>
      <w:pPr>
        <w:pStyle w:val="Heading3"/>
      </w:pPr>
      <w:r>
        <w:t>Table 3. Reproducibility and submission readiness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Local artifact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Current status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Action before external submission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Example walkthrough dataset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KEYBOARD-TESTING-GUIDE.txt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Verify rerun on clean machine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Validation summary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f1000_artifacts/validation_summary.md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Confirm numbers and paths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User walkthrough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f1000_artifacts/tutorial_walkthrough.md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Align screenshots/captions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Repository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[TO_BE_ADDED_GITHUB_OR_GITLAB_URL]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Placeholder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Replace after final tagging</w:t>
            </w:r>
          </w:p>
        </w:tc>
      </w:tr>
      <w:t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DOI metadata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[TO_BE_ADDED_ZENODO_DOI]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Placeholder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Replace after Zenodo archive creation</w:t>
            </w:r>
          </w:p>
        </w:tc>
      </w:tr>
    </w:tbl>
    <w:p/>
    <w:p>
      <w:pPr>
        <w:pStyle w:val="Heading2"/>
      </w:pPr>
      <w:r>
        <w:t>Software availability</w:t>
      </w:r>
    </w:p>
    <w:p>
      <w:pPr>
        <w:pStyle w:val="ListBullet"/>
      </w:pPr>
      <w:r>
        <w:t xml:space="preserve">Local source package: </w:t>
      </w:r>
      <w:r>
        <w:t>NMAhtml</w:t>
      </w:r>
      <w:r>
        <w:t xml:space="preserve"> under </w:t>
      </w:r>
      <w:r>
        <w:t>C:\HTML apps</w:t>
      </w:r>
      <w:r>
        <w:t>.</w:t>
      </w:r>
    </w:p>
    <w:p>
      <w:pPr>
        <w:pStyle w:val="ListBullet"/>
      </w:pPr>
      <w:r>
        <w:t xml:space="preserve">Public repository (placeholder): </w:t>
      </w:r>
      <w:r>
        <w:t>[TO_BE_ADDED_GITHUB_OR_GITLAB_URL]</w:t>
      </w:r>
    </w:p>
    <w:p>
      <w:pPr>
        <w:pStyle w:val="ListBullet"/>
      </w:pPr>
      <w:r>
        <w:t xml:space="preserve">Zenodo DOI (placeholder): </w:t>
      </w:r>
      <w:r>
        <w:t>[TO_BE_ADDED_ZENODO_DOI]</w:t>
      </w:r>
    </w:p>
    <w:p>
      <w:pPr>
        <w:pStyle w:val="ListBullet"/>
      </w:pPr>
      <w:r>
        <w:t>Version: see manuscript title and application UI version label.</w:t>
      </w:r>
    </w:p>
    <w:p>
      <w:pPr>
        <w:pStyle w:val="ListBullet"/>
      </w:pPr>
      <w:r>
        <w:t xml:space="preserve">Reproducibility walkthrough: </w:t>
      </w:r>
      <w:r>
        <w:t>f1000_artifacts/tutorial_walkthrough.md</w:t>
      </w:r>
    </w:p>
    <w:p>
      <w:pPr>
        <w:pStyle w:val="ListBullet"/>
      </w:pPr>
      <w:r>
        <w:t xml:space="preserve">Validation summary: </w:t>
      </w:r>
      <w:r>
        <w:t>f1000_artifacts/validation_summary.md</w:t>
      </w:r>
    </w:p>
    <w:p>
      <w:pPr>
        <w:pStyle w:val="ListBullet"/>
      </w:pPr>
      <w:r>
        <w:t xml:space="preserve">License: see package </w:t>
      </w:r>
      <w:r>
        <w:t>LICENSE</w:t>
      </w:r>
      <w:r>
        <w:t xml:space="preserve"> file.</w:t>
      </w:r>
    </w:p>
    <w:p>
      <w:pPr>
        <w:pStyle w:val="ListBullet"/>
      </w:pPr>
      <w:r>
        <w:t>Note: repository and DOI placeholders are intentionally retained until release archival is finalized.</w:t>
      </w:r>
    </w:p>
    <w:p>
      <w:pPr>
        <w:pStyle w:val="Heading2"/>
      </w:pPr>
      <w:r>
        <w:t>Data availability</w:t>
      </w:r>
    </w:p>
    <w:p>
      <w:r>
        <w:t xml:space="preserve">No new participant-level clinical data were generated for this software article package. Example dataset for reviewer walkthrough: </w:t>
      </w:r>
      <w:r>
        <w:t>KEYBOARD-TESTING-GUIDE.txt</w:t>
      </w:r>
      <w:r>
        <w:t>. Additional project data assets, where present, remain available within the local package tree.</w:t>
      </w:r>
    </w:p>
    <w:p>
      <w:pPr>
        <w:pStyle w:val="Heading2"/>
      </w:pPr>
      <w:r>
        <w:t>Reporting guidelines</w:t>
      </w:r>
    </w:p>
    <w:p>
      <w:r>
        <w:t xml:space="preserve">Real-peer-review-aligned checklist included: </w:t>
      </w:r>
      <w:r>
        <w:t>F1000_Submission_Checklist_RealReview.md</w:t>
      </w:r>
      <w:r>
        <w:t xml:space="preserve">. This checklist directly addresses the criticisms documented in </w:t>
      </w:r>
      <w:r>
        <w:t>C:\HTML apps\reviewer Report.txt</w:t>
      </w:r>
      <w:r>
        <w:t>.</w:t>
      </w:r>
    </w:p>
    <w:p>
      <w:pPr>
        <w:pStyle w:val="Heading2"/>
      </w:pPr>
      <w:r>
        <w:t>Declarations</w:t>
      </w:r>
    </w:p>
    <w:p>
      <w:pPr>
        <w:pStyle w:val="Heading3"/>
      </w:pPr>
      <w:r>
        <w:t>Competing interests</w:t>
      </w:r>
    </w:p>
    <w:p>
      <w:r>
        <w:t>The author declares that no competing interests were disclosed.</w:t>
      </w:r>
    </w:p>
    <w:p>
      <w:pPr>
        <w:pStyle w:val="Heading3"/>
      </w:pPr>
      <w:r>
        <w:t>Grant information</w:t>
      </w:r>
    </w:p>
    <w:p>
      <w:r>
        <w:t>No specific grant was declared for this manuscript draft.</w:t>
      </w:r>
    </w:p>
    <w:p>
      <w:pPr>
        <w:pStyle w:val="Heading3"/>
      </w:pPr>
      <w:r>
        <w:t>Author contributions (CRediT)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1E4A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CRediT roles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Mahmood Ahmad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Conceptualization; Software; Validation; Data curation; Writing - original draft; Writing - review and editing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Niraj Kumar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Bilaal Dar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Laiba Khan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1F5F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  <w:tr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b/>
                <w:color w:val="0F4C75"/>
                <w:sz w:val="20"/>
              </w:rPr>
            </w:r>
            <w:r>
              <w:rPr>
                <w:rFonts w:ascii="Calibri" w:hAnsi="Calibri"/>
                <w:b/>
                <w:color w:val="0F4C75"/>
                <w:sz w:val="20"/>
              </w:rPr>
              <w:t>Andrew Woo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space="0" w:color="4E6F85"/>
              <w:left w:val="single" w:sz="6" w:space="0" w:color="4E6F85"/>
              <w:bottom w:val="single" w:sz="6" w:space="0" w:color="4E6F85"/>
              <w:right w:val="single" w:sz="6" w:space="0" w:color="4E6F85"/>
            </w:tcBorders>
            <w:shd w:val="clear" w:color="auto" w:fill="F8FAFC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Conceptualization</w:t>
            </w:r>
          </w:p>
        </w:tc>
      </w:tr>
    </w:tbl>
    <w:p/>
    <w:p>
      <w:pPr>
        <w:pStyle w:val="Heading3"/>
      </w:pPr>
      <w:r>
        <w:t>Acknowledgements</w:t>
      </w:r>
    </w:p>
    <w:p>
      <w:r>
        <w:t>The author acknowledges contributors to open statistical methods and browser-based scientific visualization ecosystems.</w:t>
      </w:r>
    </w:p>
    <w:p>
      <w:pPr>
        <w:pStyle w:val="Heading2"/>
      </w:pPr>
      <w:r>
        <w:t>References</w:t>
      </w:r>
    </w:p>
    <w:p>
      <w:r>
        <w:t>1. DerSimonian R, Laird N. Meta-analysis in clinical trials. Controlled Clinical Trials. 1986;7(3):177-188.</w:t>
      </w:r>
    </w:p>
    <w:p>
      <w:r>
        <w:t>2. Higgins JPT, Thompson SG. Quantifying heterogeneity in a meta-analysis. Statistics in Medicine. 2002;21(11):1539-1558.</w:t>
      </w:r>
    </w:p>
    <w:p>
      <w:r>
        <w:t>3. Page MJ, McKenzie JE, Bossuyt PM, et al. The PRISMA 2020 statement: an updated guideline for reporting systematic reviews. BMJ. 2021;372:n71.</w:t>
      </w:r>
    </w:p>
    <w:p>
      <w:r>
        <w:t>4. Guyatt GH, Oxman AD, Vist GE, et al. GRADE: an emerging consensus on rating quality of evidence and strength of recommendations. BMJ. 2008;336(7650):924-926.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t xml:space="preserve">Page </w:t>
    </w:r>
    <w:r>
      <w:rPr>
        <w:rFonts w:ascii="Calibri" w:hAnsi="Calibri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mbria" w:hAnsi="Cambria"/>
        <w:color w:val="595959"/>
        <w:sz w:val="17"/>
      </w:rPr>
      <w:t>F1000 Software Tool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0F4C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0F4C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mbria" w:hAnsi="Cambria"/>
      <w:b/>
      <w:bCs/>
      <w:color w:val="0F4C7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mbria" w:hAnsi="Cambria"/>
      <w:b/>
      <w:bCs/>
      <w:i/>
      <w:iCs/>
      <w:color w:val="0F4C7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