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TruthCert-PairwisePro v1.0 (work build): a software tool article for the development-workspace variant</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Development-workspace builds are useful for validating interface and workflow changes before release alignment. This manuscript documents the TruthCert1_work variant of TruthCert-PairwisePro.</w:t>
      </w:r>
    </w:p>
    <w:p>
      <w:r>
        <w:rPr>
          <w:b/>
        </w:rPr>
        <w:t>Methods:</w:t>
      </w:r>
      <w:r>
        <w:t xml:space="preserve"> The work build retains the same major workflow architecture as the paired production directory: multi-format import, interactive model controls, run and full-analysis execution, visualization panels, bias and HTA views, and export utilities.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TruthCert-PairwisePro v1.0 (work build) provides a practical browser-native workflow for evidence synthesis; final submission readiness depends on attaching a public repository link and DOI-archived release metadata.</w:t>
      </w:r>
    </w:p>
    <w:p>
      <w:pPr>
        <w:pStyle w:val="Heading2"/>
      </w:pPr>
      <w:r>
        <w:t>Keywords</w:t>
      </w:r>
    </w:p>
    <w:p>
      <w:r>
        <w:t>pairwise meta-analysis; development build; HTA reporting; evidence synthesis; web tool</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Development builds need explicit reporting of validated behavior to remain credible for scholarly communication. This is especially important when methods span core and advanced estimator pathways.</w:t>
      </w:r>
    </w:p>
    <w:p>
      <w:r>
        <w:t>TruthCert PairwisePro (Work Build) is documented here with the same emphasis on reproducibility and clear validation boundaries used in the stable variant. Claims are intentionally restricted to what current artifacts support.</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work build retains the same browser-native architecture for import, model execution, visual analysis, and reporting, with workspace-oriented flexibility for iterative method checks. The interface supports controlled reruns to compare behavior before release integration.</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Main screen.html</w:t>
      </w:r>
      <w:r>
        <w:t xml:space="preserve"> in the </w:t>
      </w:r>
      <w:r>
        <w:t>Truthcert1_work</w:t>
      </w:r>
      <w:r>
        <w:t xml:space="preserve"> directory.</w:t>
      </w:r>
    </w:p>
    <w:p>
      <w:pPr>
        <w:pStyle w:val="ListBullet"/>
      </w:pPr>
      <w:r>
        <w:t>Load demonstration or validation datasets and configure model options for the target test scenario.</w:t>
      </w:r>
    </w:p>
    <w:p>
      <w:pPr>
        <w:pStyle w:val="ListBullet"/>
      </w:pPr>
      <w:r>
        <w:t>Execute analysis, compare outputs against expected behavior, and review interpretation panels.</w:t>
      </w:r>
    </w:p>
    <w:p>
      <w:pPr>
        <w:pStyle w:val="ListBullet"/>
      </w:pPr>
      <w:r>
        <w:t>Export artifacts for cross-build comparison and pre-release review documentation.</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Study-level odds ratio definition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OR_i = \frac{a_i d_i}{b_i c_i}, \quad y_i = \ln(OR_i)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Defines each study effect estimate before pooling under fixed- or random-effects assumptions.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pooled estimator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\hat{\theta} = \frac{\sum_i w_i y_i}{\sum_i w_i}, \quad w_i = \frac{1}{v_i + \tau^2}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Computes the pooled effect as a precision-weighted average under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Heterogeneity proportion (IÂ²)</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I^2 = \max\left(0,\frac{Q-df}{Q}\right)\times 100\%</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Estimates the proportion of total variability attributable to between-study heterogeneity.</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2880"/>
        <w:gridCol w:w="2880"/>
        <w:gridCol w:w="2880"/>
      </w:tblGrid>
      <w:tr>
        <w:trPr>
          <w:tblHeader w:val="true"/>
        </w:trP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4.5.2 (2025-10-31 ucrt); metafor 4.8.0; meta 8.2.1.</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Three datasets (SGLT2_ACM, BCG, BP_REDUCTION) with effect-size, tau^2, pooled estimate, CI, and heterogeneity checks.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Pass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108/112 passed (96.4%).</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Noted caveat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Minor differences reported for advanced tau^2 estimators (PM/HS/SJ/EB); core estimators and pooled outputs reported as matching.</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Additional regression suite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S4 automated checks: 17/17 passed (pass_rate=100.0%).</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S4_Validation_Results.json</w:t>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Demo pairwise dataset in the development workspace variant</w:t>
      </w:r>
    </w:p>
    <w:p>
      <w:pPr>
        <w:pStyle w:val="ListBullet"/>
      </w:pPr>
      <w:r>
        <w:t>Rationale: a fixed demo dataset enables reproducible method demonstration and easier reviewer verification.</w:t>
      </w:r>
    </w:p>
    <w:p>
      <w:pPr>
        <w:pStyle w:val="Heading3"/>
      </w:pPr>
      <w:r>
        <w:t>Use case 1: Development-build reproduction test</w:t>
      </w:r>
    </w:p>
    <w:p>
      <w:r>
        <w:t>Workflow:</w:t>
      </w:r>
    </w:p>
    <w:p>
      <w:pPr>
        <w:pStyle w:val="ListBullet"/>
      </w:pPr>
      <w:r>
        <w:t xml:space="preserve">Load the demo dataset in </w:t>
      </w:r>
      <w:r>
        <w:t>Truthcert1_work</w:t>
      </w:r>
      <w:r>
        <w:t>.</w:t>
      </w:r>
    </w:p>
    <w:p>
      <w:pPr>
        <w:pStyle w:val="ListBullet"/>
      </w:pPr>
      <w:r>
        <w:t>Run the full-analysis path and verify expected output panels.</w:t>
      </w:r>
    </w:p>
    <w:p>
      <w:pPr>
        <w:pStyle w:val="ListBullet"/>
      </w:pPr>
      <w:r>
        <w:t>Export artifacts to compare behavior with the release-aligned build.</w:t>
      </w:r>
    </w:p>
    <w:p>
      <w:r>
        <w:t>Expected outputs for the manuscript:</w:t>
      </w:r>
    </w:p>
    <w:p>
      <w:pPr>
        <w:pStyle w:val="ListBullet"/>
      </w:pPr>
      <w:r>
        <w:t>Development-run reproducibility trace</w:t>
      </w:r>
    </w:p>
    <w:p>
      <w:pPr>
        <w:pStyle w:val="ListBullet"/>
      </w:pPr>
      <w:r>
        <w:t>Cross-build comparison evidence</w:t>
      </w:r>
    </w:p>
    <w:p>
      <w:pPr>
        <w:pStyle w:val="Heading3"/>
      </w:pPr>
      <w:r>
        <w:t>Use case 2: Pre-release change validation</w:t>
      </w:r>
    </w:p>
    <w:p>
      <w:r>
        <w:t>Workflow:</w:t>
      </w:r>
    </w:p>
    <w:p>
      <w:pPr>
        <w:pStyle w:val="ListBullet"/>
      </w:pPr>
      <w:r>
        <w:t>Apply candidate setting changes and re-run demo analysis.</w:t>
      </w:r>
    </w:p>
    <w:p>
      <w:pPr>
        <w:pStyle w:val="ListBullet"/>
      </w:pPr>
      <w:r>
        <w:t>Compare forest, contribution, and interpretation outputs.</w:t>
      </w:r>
    </w:p>
    <w:p>
      <w:pPr>
        <w:pStyle w:val="ListBullet"/>
      </w:pPr>
      <w:r>
        <w:t>Document any behavior changes before release synchronization.</w:t>
      </w:r>
    </w:p>
    <w:p>
      <w:r>
        <w:t>Expected outputs for the manuscript:</w:t>
      </w:r>
    </w:p>
    <w:p>
      <w:pPr>
        <w:pStyle w:val="ListBullet"/>
      </w:pPr>
      <w:r>
        <w:t>Actionable pre-release validation notes</w:t>
      </w:r>
    </w:p>
    <w:p>
      <w:pPr>
        <w:pStyle w:val="ListBullet"/>
      </w:pPr>
      <w:r>
        <w:t>Method-change evidence for team review</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Pairwiseai</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work build demonstrates strong operational reproducibility for core workflows and includes additional automated regression evidence. This increases confidence in day-to-day analytical reliability across tested scenarios.</w:t>
      </w:r>
    </w:p>
    <w:p>
      <w:r>
        <w:t>As a development build, it still requires disciplined version governance and continued validation expansion for broader method claims. Transparent caveat reporting remains essential and should be retained in final submission wording.</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TruthCert PairwisePro (Work Build) provides reproducible core functionality with explicit validation artifacts and clear caveat reporting. It is publication-ready as a software tool once final metadata and release positioning are finalized.</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PAIRWISE_BENCHMARK_2026-02-26.md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Pairwiseai</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PAIRWISE_BENCHMARK_2026-02-26.md</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