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TruthCert-PairwisePro v1.0: a browser software tool for pairwise evidence synthesis with HTA-oriented reporting</w:t>
      </w:r>
    </w:p>
    <w:p>
      <w:pPr>
        <w:pStyle w:val="Heading2"/>
      </w:pPr>
      <w:r>
        <w:t>Authors</w:t>
      </w:r>
    </w:p>
    <w:p>
      <w:pPr>
        <w:pStyle w:val="ListBullet"/>
      </w:pPr>
      <w:r>
        <w:t>Mahmood Ahmad [1,2]</w:t>
      </w:r>
    </w:p>
    <w:p>
      <w:pPr>
        <w:pStyle w:val="ListBullet"/>
      </w:pPr>
      <w:r>
        <w:t>Niraj Kumar [1]</w:t>
      </w:r>
    </w:p>
    <w:p>
      <w:pPr>
        <w:pStyle w:val="ListBullet"/>
      </w:pPr>
      <w:r>
        <w:t>Bilaal Dar [3]</w:t>
      </w:r>
    </w:p>
    <w:p>
      <w:pPr>
        <w:pStyle w:val="ListBullet"/>
      </w:pPr>
      <w:r>
        <w:t>Laiba Khan [1]</w:t>
      </w:r>
    </w:p>
    <w:p>
      <w:pPr>
        <w:pStyle w:val="ListBullet"/>
      </w:pPr>
      <w:r>
        <w:t>Andrew Woo [4]</w:t>
      </w:r>
    </w:p>
    <w:p>
      <w:pPr>
        <w:pStyle w:val="ListBullet"/>
      </w:pPr>
      <w:r>
        <w:t>Corresponding author: Andrew Woo (andy2709w@gmail.com)</w:t>
      </w:r>
    </w:p>
    <w:p>
      <w:pPr>
        <w:pStyle w:val="Heading2"/>
      </w:pPr>
      <w:r>
        <w:t>Affiliations</w:t>
      </w:r>
    </w:p>
    <w:p>
      <w:r>
        <w:t>1. Royal Free Hospital</w:t>
      </w:r>
    </w:p>
    <w:p>
      <w:r>
        <w:t>2. Tahir Heart Institute Rabwah</w:t>
      </w:r>
    </w:p>
    <w:p>
      <w:r>
        <w:t>3. King's College Medical School</w:t>
      </w:r>
    </w:p>
    <w:p>
      <w:r>
        <w:t>4. St George's Medical School</w:t>
      </w:r>
    </w:p>
    <w:p>
      <w:pPr>
        <w:pStyle w:val="Heading2"/>
      </w:pPr>
      <w:r>
        <w:t>Abstract</w:t>
      </w:r>
    </w:p>
    <w:p>
      <w:r>
        <w:rPr>
          <w:b/>
        </w:rPr>
        <w:t>Background:</w:t>
      </w:r>
      <w:r>
        <w:t xml:space="preserve"> Pairwise evidence synthesis projects need reliable import pathways and structured interpretation modules to support both scientific reporting and HTA framing. TruthCert-PairwisePro v1.0 addresses this by combining analysis and reporting in one browser tool.</w:t>
      </w:r>
    </w:p>
    <w:p>
      <w:r>
        <w:rPr>
          <w:b/>
        </w:rPr>
        <w:t>Methods:</w:t>
      </w:r>
      <w:r>
        <w:t xml:space="preserve"> The application is delivered as a standalone HTML bundle with client-side plotting and export libraries. The interface supports RevMan, Covidence, CSV, TSV, and JSON import; run and full-analysis controls; forest and contribution views; bias and HTA interpretation modules; and report export. A Playwright browser workflow was used on 2026-03-01 to capture representative full-page interface states from the local runnable build.</w:t>
      </w:r>
    </w:p>
    <w:p>
      <w:r>
        <w:rPr>
          <w:b/>
        </w:rPr>
        <w:t>Results:</w:t>
      </w:r>
      <w:r>
        <w:t xml:space="preserve"> The software completed end-to-end browser workflows for data input, model execution, visual analytics, and export within the domain-specific interface.</w:t>
      </w:r>
    </w:p>
    <w:p>
      <w:r>
        <w:rPr>
          <w:b/>
        </w:rPr>
        <w:t>Conclusions:</w:t>
      </w:r>
      <w:r>
        <w:t xml:space="preserve"> TruthCert-PairwisePro v1.0 provides a practical browser-native workflow for evidence synthesis; final submission readiness depends on attaching a public repository link and DOI-archived release metadata.</w:t>
      </w:r>
    </w:p>
    <w:p>
      <w:pPr>
        <w:pStyle w:val="Heading2"/>
      </w:pPr>
      <w:r>
        <w:t>Keywords</w:t>
      </w:r>
    </w:p>
    <w:p>
      <w:r>
        <w:t>pairwise meta-analysis; HTA reporting; evidence synthesis; RevMan import; browser analytics</w:t>
      </w:r>
    </w:p>
    <w:p>
      <w:pPr>
        <w:pStyle w:val="Heading2"/>
      </w:pPr>
      <w:r>
        <w:t>Visual Abstract</w:t>
      </w:r>
    </w:p>
    <w:p>
      <w:pPr>
        <w:pStyle w:val="Heading3"/>
      </w:pPr>
      <w:r>
        <w:t>Workflow overview</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Panel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Key message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the software does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Reviewer-check evidence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Clinical problem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Evidence-synthesis workflows are often fragmented and hard to audit.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Consolidates data input, model execution, diagnostics, and exports in one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Manuscript Methods + reproducibility checklist.</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Inputs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Reproducibility depends on explicit data/schema and parameter states.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Uses user-provided or demo datasets with configurable model and sensitivity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Use-case walkthrough + saved run configuration.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Analysis core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Credible conclusions require transparent estimation and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Runs primary model(s), heterogeneity handling, and sensitivity modules with exportable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Results/diagnostic tables + validation artifact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Output and interpretation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Outputs must be interpretable, bounded, and independently checkable.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Produces pooled estimates, plots, diagnostics, and reporting exports for independent review.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Validation evidence table + checklist-linked artifacts.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Claim boundary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Software articles should avoid unsupported superiority claims.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States limitations, scope, and pending metadata requirements explicitly.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Discussion limitations + submission blockers checklist.</w:t>
            </w:r>
          </w:p>
        </w:tc>
      </w:tr>
    </w:tbl>
    <w:p/>
    <w:p>
      <w:pPr>
        <w:pStyle w:val="Heading2"/>
      </w:pPr>
      <w:r>
        <w:t>Introduction</w:t>
      </w:r>
    </w:p>
    <w:p>
      <w:r>
        <w:t>Pairwise evidence synthesis tools are most useful when they combine methodological transparency with practical decision-facing outputs. Without clear validation context, interpretive confidence can be overstated.</w:t>
      </w:r>
    </w:p>
    <w:p>
      <w:r>
        <w:t>TruthCert PairwisePro is presented as an integrated browser workflow with explicit reporting of where agreement is strong and where advanced estimators show residual differences. This manuscript keeps claims aligned with documented evidence to support fair peer review.</w:t>
      </w:r>
    </w:p>
    <w:p>
      <w:pPr>
        <w:pStyle w:val="Heading3"/>
      </w:pPr>
      <w:r>
        <w:t>Positioning against existing tools</w:t>
      </w:r>
    </w:p>
    <w:p>
      <w:r>
        <w:t>This package is positioned relative to established options including CRSU/MetaInsight web tools, Comprehensive Meta-Analysis (CMA), Stata-based workflows, and package-driven R pipelines. The intended contribution here is workflow transparency, reproducibility scaffolding, and explicit claim boundaries, not blanket superiority over existing platforms.</w:t>
      </w:r>
    </w:p>
    <w:p>
      <w:pPr>
        <w:pStyle w:val="Heading3"/>
      </w:pPr>
      <w:r>
        <w:t>Table 1. Positioning matrix</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Dimension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This package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Established alternatives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Claim boundary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goal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Transparent, reproducible end-to-end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Mature GUIs/statistical packages with broad legacy adoption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Scope limited to demonstrated workflows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User profile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Clinicians/researchers needing guided reproducibility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Advanced analysts and mixed-skill teams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Complementary use is recommended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Strength emphasis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Auditability, artifact linkage, structured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Feature breadth and ecosystem maturity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Interpret strengths relative to use case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Reproducibility support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Walkthrough + validation summary + checklist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Varies by tool/package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Claims remain artifact-bounded</w:t>
            </w:r>
          </w:p>
        </w:tc>
      </w:tr>
    </w:tbl>
    <w:p/>
    <w:p>
      <w:pPr>
        <w:pStyle w:val="Heading2"/>
      </w:pPr>
      <w:r>
        <w:t>Methods</w:t>
      </w:r>
    </w:p>
    <w:p>
      <w:pPr>
        <w:pStyle w:val="Heading3"/>
      </w:pPr>
      <w:r>
        <w:t>Implementation</w:t>
      </w:r>
    </w:p>
    <w:p>
      <w:r>
        <w:t>The software is delivered as a standalone HTML bundle with client-side modules for multi-format import, pairwise estimation, visual outputs, and reporting. Evidence-processing and interpretation tabs are connected through a unified state model so analysts can rerun and compare outputs under stable settings.</w:t>
      </w:r>
    </w:p>
    <w:p>
      <w:pPr>
        <w:pStyle w:val="Heading3"/>
      </w:pPr>
      <w:r>
        <w:t>Installation and local execution requirements</w:t>
      </w:r>
    </w:p>
    <w:p>
      <w:pPr>
        <w:pStyle w:val="ListBullet"/>
      </w:pPr>
      <w:r>
        <w:t xml:space="preserve">Confirm required runtime dependencies listed in </w:t>
      </w:r>
      <w:r>
        <w:t>README.md</w:t>
      </w:r>
      <w:r>
        <w:t xml:space="preserve"> and project environment files.</w:t>
      </w:r>
    </w:p>
    <w:p>
      <w:pPr>
        <w:pStyle w:val="ListBullet"/>
      </w:pPr>
      <w:r>
        <w:t>Use a clean environment for first-run verification to avoid hidden local-state effects.</w:t>
      </w:r>
    </w:p>
    <w:p>
      <w:pPr>
        <w:pStyle w:val="ListBullet"/>
      </w:pPr>
      <w:r>
        <w:t>Run the documented primary entry point and capture logs/screenshots for reproducibility notes.</w:t>
      </w:r>
    </w:p>
    <w:p>
      <w:pPr>
        <w:pStyle w:val="ListBullet"/>
      </w:pPr>
      <w:r>
        <w:t>If package-specific dependencies are unavailable, record the exact version mismatch and fallback behavior.</w:t>
      </w:r>
    </w:p>
    <w:p>
      <w:pPr>
        <w:pStyle w:val="Heading3"/>
      </w:pPr>
      <w:r>
        <w:t>Operation</w:t>
      </w:r>
    </w:p>
    <w:p>
      <w:pPr>
        <w:pStyle w:val="ListBullet"/>
      </w:pPr>
      <w:r>
        <w:t xml:space="preserve">Open </w:t>
      </w:r>
      <w:r>
        <w:t>Main screen.html</w:t>
      </w:r>
      <w:r>
        <w:t xml:space="preserve"> and import demonstration or user datasets from supported formats.</w:t>
      </w:r>
    </w:p>
    <w:p>
      <w:pPr>
        <w:pStyle w:val="ListBullet"/>
      </w:pPr>
      <w:r>
        <w:t>Configure pairwise model settings and execute run/full-run workflows.</w:t>
      </w:r>
    </w:p>
    <w:p>
      <w:pPr>
        <w:pStyle w:val="ListBullet"/>
      </w:pPr>
      <w:r>
        <w:t>Review forest/contribution/bias/HTA panels and inspect consistency of conclusions.</w:t>
      </w:r>
    </w:p>
    <w:p>
      <w:pPr>
        <w:pStyle w:val="ListBullet"/>
      </w:pPr>
      <w:r>
        <w:t>Export report and supporting analysis artifacts for manuscript submission.</w:t>
      </w:r>
    </w:p>
    <w:p>
      <w:pPr>
        <w:pStyle w:val="Heading3"/>
      </w:pPr>
      <w:r>
        <w:t>Table 2. Minimum input schema and validation checks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Input field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Required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rule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Failure risk if missing/invalid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Study identifier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Unique per row/group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Mislabelled outputs, merge errors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Effect/endpoint variables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Numeric + interpretable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Invalid model estimation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Uncertainty/count fields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Non-negative and non-null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Biased weighting or unstable inference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Model-setting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Explicitly recorded at run time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Non-reproducible reruns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Source file provenance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Recommended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Track input path and version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Ambiguous audit trail</w:t>
            </w:r>
          </w:p>
        </w:tc>
      </w:tr>
    </w:tbl>
    <w:p/>
    <w:p>
      <w:pPr>
        <w:pStyle w:val="Heading3"/>
      </w:pPr>
      <w:r>
        <w:t>Core equations</w:t>
      </w:r>
    </w:p>
    <w:p>
      <w:r>
        <w:t>Key equations used in this manuscript are summarized in Table EQ1.</w:t>
      </w:r>
    </w:p>
    <w:p>
      <w:pPr>
        <w:pStyle w:val="Heading3"/>
      </w:pPr>
      <w:r>
        <w:t>Equation summary table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Eq. ID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Model 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Expression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Interpretation role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E1</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Study-level odds ratio definition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OR_i = \frac{a_i d_i}{b_i c_i}, \quad y_i = \ln(OR_i)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Defines each study effect estimate before pooling under fixed- or random-effects assumptions.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pooled estimator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\hat{\theta} = \frac{\sum_i w_i y_i}{\sum_i w_i}, \quad w_i = \frac{1}{v_i + \tau^2}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Computes the pooled effect as a precision-weighted average under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E3</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Heterogeneity proportion (IÂ²)</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I^2 = \max\left(0,\frac{Q-df}{Q}\right)\times 100\%</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Estimates the proportion of total variability attributable to between-study heterogeneity.</w:t>
            </w:r>
          </w:p>
        </w:tc>
      </w:tr>
    </w:tbl>
    <w:p/>
    <w:p>
      <w:pPr>
        <w:pStyle w:val="Heading3"/>
      </w:pPr>
      <w:r>
        <w:t>Reproducibility and validation</w:t>
      </w:r>
    </w:p>
    <w:p>
      <w:r>
        <w:t>All analytic states are controlled through explicit user-configurable parameters and exportable outputs. In this manuscript, demonstration workflows were repeated under fixed settings to confirm stable behavior across reruns, and figure generation was standardized to full-page captures for consistent interpretation.</w:t>
      </w:r>
    </w:p>
    <w:p>
      <w:pPr>
        <w:pStyle w:val="Heading4"/>
      </w:pPr>
      <w:r>
        <w:t>R validation evidence table</w:t>
      </w:r>
    </w:p>
    <w:tbl>
      <w:tblPr>
        <w:tblStyle w:val="TableGrid"/>
        <w:tblW w:type="auto" w:w="0"/>
        <w:tblLayout w:type="autofit"/>
        <w:tblLook w:firstColumn="1" w:firstRow="1" w:lastColumn="0" w:lastRow="0" w:noHBand="0" w:noVBand="1" w:val="04A0"/>
      </w:tblPr>
      <w:tblGrid>
        <w:gridCol w:w="2880"/>
        <w:gridCol w:w="2880"/>
        <w:gridCol w:w="2880"/>
      </w:tblGrid>
      <w:tr>
        <w:trPr>
          <w:tblHeader w:val="true"/>
        </w:trP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dimension</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Evidence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Artifact source</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Comparator environment</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 4.5.2 (2025-10-31 ucrt); metafor 4.8.0; meta 8.2.1.</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scope</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Three datasets (SGLT2_ACM, BCG, BP_REDUCTION) with effect-size, tau^2, pooled estimate, CI, and heterogeneity checks.</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Pass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108/112 passed (96.4%).</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Noted caveat</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Minor differences reported for advanced tau^2 estimators (PM/HS/SJ/EB); core estimators and pooled outputs reported as matching.</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Supplement_S3_R_Validation.md</w:t>
            </w:r>
          </w:p>
        </w:tc>
      </w:tr>
    </w:tbl>
    <w:p/>
    <w:p>
      <w:pPr>
        <w:pStyle w:val="Heading3"/>
      </w:pPr>
      <w:r>
        <w:t>Core functionality exposed in the interface</w:t>
      </w:r>
    </w:p>
    <w:p>
      <w:pPr>
        <w:pStyle w:val="ListBullet"/>
      </w:pPr>
      <w:r>
        <w:t>Interactive data ingestion and validation controls</w:t>
      </w:r>
    </w:p>
    <w:p>
      <w:pPr>
        <w:pStyle w:val="ListBullet"/>
      </w:pPr>
      <w:r>
        <w:t>Configurable analysis models with sensitivity options</w:t>
      </w:r>
    </w:p>
    <w:p>
      <w:pPr>
        <w:pStyle w:val="ListBullet"/>
      </w:pPr>
      <w:r>
        <w:t>Integrated visualization panels for interpretive review</w:t>
      </w:r>
    </w:p>
    <w:p>
      <w:pPr>
        <w:pStyle w:val="ListBullet"/>
      </w:pPr>
      <w:r>
        <w:t>Export pathways for reporting and reproducibility artifacts</w:t>
      </w:r>
    </w:p>
    <w:p>
      <w:pPr>
        <w:pStyle w:val="Heading3"/>
      </w:pPr>
      <w:r>
        <w:t>Reviewer-informed reproducibility safeguards</w:t>
      </w:r>
    </w:p>
    <w:p>
      <w:pPr>
        <w:pStyle w:val="ListBullet"/>
      </w:pPr>
      <w:r>
        <w:t>The manuscript includes a concrete runnable workflow from data import to export, avoiding outline-only reporting.</w:t>
      </w:r>
    </w:p>
    <w:p>
      <w:pPr>
        <w:pStyle w:val="ListBullet"/>
      </w:pPr>
      <w:r>
        <w:t>Example/demo datasets are used for reviewer walkthroughs so outputs can be replicated without author-specific data access.</w:t>
      </w:r>
    </w:p>
    <w:p>
      <w:pPr>
        <w:pStyle w:val="ListBullet"/>
      </w:pPr>
      <w:r>
        <w:t>Validation artifacts are declared in a structured table with explicit source paths, reducing unverifiable performance claims.</w:t>
      </w:r>
    </w:p>
    <w:p>
      <w:pPr>
        <w:pStyle w:val="ListBullet"/>
      </w:pPr>
      <w:r>
        <w:t>Claims are bounded to tested scenarios and should be interpreted with the documented tolerance and caveat context.</w:t>
      </w:r>
    </w:p>
    <w:p>
      <w:pPr>
        <w:pStyle w:val="Heading3"/>
      </w:pPr>
      <w:r>
        <w:t>Output interpretation guidance</w:t>
      </w:r>
    </w:p>
    <w:p>
      <w:r>
        <w:t>Interpret outputs jointly across effect estimates, uncertainty intervals, heterogeneity diagnostics, and sensitivity results. For small study counts, rare-event settings, or model-mismatch scenarios, treat asymmetry tests and pooled estimates cautiously. When assumptions are only approximately met (e.g., large-sample approximations), results should be reported with explicit caveats.</w:t>
      </w:r>
    </w:p>
    <w:p>
      <w:pPr>
        <w:pStyle w:val="Heading3"/>
      </w:pPr>
      <w:r>
        <w:t>Table 4. Output-to-decision interpretation guide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Output type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tells you</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does not guarantee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Reporting recommendation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pooled/model estimate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Central tendency under stated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Universal validity across all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with assumptions and uncertainty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metrics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Between-study variability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Definitive cause of heterogeneity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Pair with subgroup/sensitivity rationale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Bias/asymmetry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Potential small-study/publication-bias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Definitive proof of bias mechanism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small-k limitations explicitly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analyses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Robustness under alternate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Immunity to all model misspecification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 scenario-wise evidence table</w:t>
            </w:r>
          </w:p>
        </w:tc>
      </w:tr>
    </w:tbl>
    <w:p/>
    <w:p>
      <w:pPr>
        <w:pStyle w:val="Heading2"/>
      </w:pPr>
      <w:r>
        <w:t>Use cases</w:t>
      </w:r>
    </w:p>
    <w:p>
      <w:pPr>
        <w:pStyle w:val="Heading3"/>
      </w:pPr>
      <w:r>
        <w:t>Demonstration dataset used for manuscript walkthrough</w:t>
      </w:r>
    </w:p>
    <w:p>
      <w:pPr>
        <w:pStyle w:val="ListBullet"/>
      </w:pPr>
      <w:r>
        <w:t>Dataset profile: Demo pairwise dataset imported from RevMan/Covidence-compatible structure</w:t>
      </w:r>
    </w:p>
    <w:p>
      <w:pPr>
        <w:pStyle w:val="ListBullet"/>
      </w:pPr>
      <w:r>
        <w:t>Rationale: a fixed demo dataset enables reproducible method demonstration and easier reviewer verification.</w:t>
      </w:r>
    </w:p>
    <w:p>
      <w:pPr>
        <w:pStyle w:val="Heading3"/>
      </w:pPr>
      <w:r>
        <w:t>Use case 1: Pairwise synthesis demonstration</w:t>
      </w:r>
    </w:p>
    <w:p>
      <w:r>
        <w:t>Workflow:</w:t>
      </w:r>
    </w:p>
    <w:p>
      <w:pPr>
        <w:pStyle w:val="ListBullet"/>
      </w:pPr>
      <w:r>
        <w:t>Import the demo dataset using the built-in import workflow.</w:t>
      </w:r>
    </w:p>
    <w:p>
      <w:pPr>
        <w:pStyle w:val="ListBullet"/>
      </w:pPr>
      <w:r>
        <w:t>Run the default analysis and verify forest and contribution outputs.</w:t>
      </w:r>
    </w:p>
    <w:p>
      <w:pPr>
        <w:pStyle w:val="ListBullet"/>
      </w:pPr>
      <w:r>
        <w:t>Capture summary outputs and export report artifacts.</w:t>
      </w:r>
    </w:p>
    <w:p>
      <w:r>
        <w:t>Expected outputs for the manuscript:</w:t>
      </w:r>
    </w:p>
    <w:p>
      <w:pPr>
        <w:pStyle w:val="ListBullet"/>
      </w:pPr>
      <w:r>
        <w:t>Pairwise pooled effects with visual evidence summaries</w:t>
      </w:r>
    </w:p>
    <w:p>
      <w:pPr>
        <w:pStyle w:val="ListBullet"/>
      </w:pPr>
      <w:r>
        <w:t>Report-ready output bundle</w:t>
      </w:r>
    </w:p>
    <w:p>
      <w:pPr>
        <w:pStyle w:val="Heading3"/>
      </w:pPr>
      <w:r>
        <w:t>Use case 2: Bias and HTA interpretation cycle</w:t>
      </w:r>
    </w:p>
    <w:p>
      <w:r>
        <w:t>Workflow:</w:t>
      </w:r>
    </w:p>
    <w:p>
      <w:pPr>
        <w:pStyle w:val="ListBullet"/>
      </w:pPr>
      <w:r>
        <w:t>Use the same dataset to review bias and HTA interpretation panels.</w:t>
      </w:r>
    </w:p>
    <w:p>
      <w:pPr>
        <w:pStyle w:val="ListBullet"/>
      </w:pPr>
      <w:r>
        <w:t>Re-run with adjusted options if required by the review protocol.</w:t>
      </w:r>
    </w:p>
    <w:p>
      <w:pPr>
        <w:pStyle w:val="ListBullet"/>
      </w:pPr>
      <w:r>
        <w:t>Record final interpretation statements with exported outputs.</w:t>
      </w:r>
    </w:p>
    <w:p>
      <w:r>
        <w:t>Expected outputs for the manuscript:</w:t>
      </w:r>
    </w:p>
    <w:p>
      <w:pPr>
        <w:pStyle w:val="ListBullet"/>
      </w:pPr>
      <w:r>
        <w:t>Integrated statistical and HTA narrative</w:t>
      </w:r>
    </w:p>
    <w:p>
      <w:pPr>
        <w:pStyle w:val="ListBullet"/>
      </w:pPr>
      <w:r>
        <w:t>Transparent interpretation record</w:t>
      </w:r>
    </w:p>
    <w:p>
      <w:pPr>
        <w:pStyle w:val="Heading3"/>
      </w:pPr>
      <w:r>
        <w:t>Screenshot interpretation</w:t>
      </w:r>
    </w:p>
    <w:p>
      <w:pPr>
        <w:pStyle w:val="ListBullet"/>
      </w:pPr>
      <w:r>
        <w:t>Figure 1 documents the active analysis interface and confirms operational execution in a browser environment.</w:t>
      </w:r>
    </w:p>
    <w:p>
      <w:pPr>
        <w:pStyle w:val="ListBullet"/>
      </w:pPr>
      <w:r>
        <w:t>During submission, this figure should be paired with a short caption that names the demo dataset and run configuration.</w:t>
      </w:r>
    </w:p>
    <w:p>
      <w:pPr>
        <w:pStyle w:val="Heading3"/>
      </w:pPr>
      <w:r>
        <w:t>Reviewer-facing walkthrough (replicable package check)</w:t>
      </w:r>
    </w:p>
    <w:p>
      <w:r>
        <w:t xml:space="preserve">1. Open the primary application file in </w:t>
      </w:r>
      <w:r>
        <w:t>Truthcert1</w:t>
      </w:r>
      <w:r>
        <w:t xml:space="preserve"> and load an included demo/example dataset.</w:t>
      </w:r>
    </w:p>
    <w:p>
      <w:r>
        <w:t>2. Run the default primary analysis and record the main pooled/model outputs.</w:t>
      </w:r>
    </w:p>
    <w:p>
      <w:r>
        <w:t>3. Trigger at least one sensitivity or subgroup option and compare directional stability.</w:t>
      </w:r>
    </w:p>
    <w:p>
      <w:r>
        <w:t>4. Export results and confirm that exported artifacts match on-screen summaries.</w:t>
      </w:r>
    </w:p>
    <w:p>
      <w:r>
        <w:t>5. Cross-check the run against the validation evidence paths listed in the manuscript.</w:t>
      </w:r>
    </w:p>
    <w:p>
      <w:pPr>
        <w:pStyle w:val="Heading3"/>
      </w:pPr>
      <w:r>
        <w:t>User tutorial and onboarding</w:t>
      </w:r>
    </w:p>
    <w:p>
      <w:pPr>
        <w:pStyle w:val="ListBullet"/>
      </w:pPr>
      <w:r>
        <w:t>Use the demonstration dataset path described in the Use Cases section for a first complete run.</w:t>
      </w:r>
    </w:p>
    <w:p>
      <w:pPr>
        <w:pStyle w:val="ListBullet"/>
      </w:pPr>
      <w:r>
        <w:t>Verify that exported outputs are internally consistent with on-screen results.</w:t>
      </w:r>
    </w:p>
    <w:p>
      <w:pPr>
        <w:pStyle w:val="ListBullet"/>
      </w:pPr>
      <w:r>
        <w:t>Use the validation evidence table and artifact paths to cross-check claims before interpretation.</w:t>
      </w:r>
    </w:p>
    <w:p>
      <w:pPr>
        <w:pStyle w:val="ListBullet"/>
      </w:pPr>
      <w:r>
        <w:t>Treat advanced settings cautiously and report any warnings, convergence notes, or caveats in outputs.</w:t>
      </w:r>
    </w:p>
    <w:p>
      <w:pPr>
        <w:pStyle w:val="Heading3"/>
      </w:pPr>
      <w:r>
        <w:t>Table 5. Assumptions, diagnostics, and caution flags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Assumption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Recommended diagnostic</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Caution flag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Effect model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Chosen form reflects study design and outcome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Residual pattern + sensitivity reruns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 directional shifts across settings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handling</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assumptions are plausible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Tau/I2/Q-related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Small-k instability or extreme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Approximation regime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Large-sample approximations adequate for data context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Rare-event and small-k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Sparse events / unstable variance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module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Alternative settings should not reverse core interpretation without explanation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Structured scenario comparison table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Inference changes without transparent rationale</w:t>
            </w:r>
          </w:p>
        </w:tc>
      </w:tr>
    </w:tbl>
    <w:p/>
    <w:p>
      <w:pPr>
        <w:pStyle w:val="Heading2"/>
      </w:pPr>
      <w:r>
        <w:t>Discussion</w:t>
      </w:r>
    </w:p>
    <w:p>
      <w:r>
        <w:t>The software provides a coherent end-to-end path from data input to interpretive outputs, improving reproducibility for routine pairwise analyses. Its validation documentation is a strength because it separates core agreement findings from advanced-estimator caveats.</w:t>
      </w:r>
    </w:p>
    <w:p>
      <w:r>
        <w:t>The main limitation is that not all advanced estimator pathways are equally aligned in current artifacts, which should be stated explicitly in interpretation. This transparency is methodologically preferable and supports credible revision planning.</w:t>
      </w:r>
    </w:p>
    <w:p>
      <w:pPr>
        <w:pStyle w:val="Heading3"/>
      </w:pPr>
      <w:r>
        <w:t>Limitations and claim boundaries (review-informed)</w:t>
      </w:r>
    </w:p>
    <w:p>
      <w:pPr>
        <w:pStyle w:val="ListBullet"/>
      </w:pPr>
      <w:r>
        <w:t>The software is not presented as a universal replacement for all evidence-synthesis platforms.</w:t>
      </w:r>
    </w:p>
    <w:p>
      <w:pPr>
        <w:pStyle w:val="ListBullet"/>
      </w:pPr>
      <w:r>
        <w:t>Utility claims are limited to demonstrated workflows and validated scenarios reported in this package.</w:t>
      </w:r>
    </w:p>
    <w:p>
      <w:pPr>
        <w:pStyle w:val="ListBullet"/>
      </w:pPr>
      <w:r>
        <w:t>Interpretation quality still depends on user method expertise, data quality, and appropriate model selection.</w:t>
      </w:r>
    </w:p>
    <w:p>
      <w:pPr>
        <w:pStyle w:val="ListBullet"/>
      </w:pPr>
      <w:r>
        <w:t>Public repository and DOI archival remain mandatory final-submission requirements for independent long-term reproducibility.</w:t>
      </w:r>
    </w:p>
    <w:p>
      <w:pPr>
        <w:pStyle w:val="Heading2"/>
      </w:pPr>
      <w:r>
        <w:t>Conclusions</w:t>
      </w:r>
    </w:p>
    <w:p>
      <w:r>
        <w:t>TruthCert PairwisePro supports transparent pairwise synthesis with clear validation boundaries and reproducible outputs. With final metadata completion, it remains suitable for software-method submission under evidence-calibrated claims.</w:t>
      </w:r>
    </w:p>
    <w:p>
      <w:pPr>
        <w:pStyle w:val="Heading2"/>
      </w:pPr>
      <w:r>
        <w:t>Workflow Figure Blueprint</w:t>
      </w:r>
    </w:p>
    <w:p>
      <w:pPr>
        <w:pStyle w:val="Heading3"/>
      </w:pPr>
      <w:r>
        <w:t>Figure FA1. End-to-end analytical flowchart</w:t>
      </w:r>
    </w:p>
    <w:p>
      <w:r>
        <w:t>Recommended node sequence:</w:t>
      </w:r>
    </w:p>
    <w:p>
      <w:r>
        <w:t>1. Data input and schema checks</w:t>
      </w:r>
    </w:p>
    <w:p>
      <w:r>
        <w:t>2. Model setup and assumptions</w:t>
      </w:r>
    </w:p>
    <w:p>
      <w:r>
        <w:t>3. Primary estimation</w:t>
      </w:r>
    </w:p>
    <w:p>
      <w:r>
        <w:t>4. Diagnostics and heterogeneity review</w:t>
      </w:r>
    </w:p>
    <w:p>
      <w:r>
        <w:t>5. Sensitivity and robustness analysis</w:t>
      </w:r>
    </w:p>
    <w:p>
      <w:r>
        <w:t>6. Export, reporting, and reproducibility checks</w:t>
      </w:r>
    </w:p>
    <w:p>
      <w:r>
        <w:t>Design specifications:</w:t>
      </w:r>
    </w:p>
    <w:p>
      <w:pPr>
        <w:pStyle w:val="ListBullet"/>
      </w:pPr>
      <w:r>
        <w:t>Use clean vector geometry, no decorative backgrounds.</w:t>
      </w:r>
    </w:p>
    <w:p>
      <w:pPr>
        <w:pStyle w:val="ListBullet"/>
      </w:pPr>
      <w:r>
        <w:t>Keep labels short, method-focused, and assumption-aware.</w:t>
      </w:r>
    </w:p>
    <w:p>
      <w:pPr>
        <w:pStyle w:val="ListBullet"/>
      </w:pPr>
      <w:r>
        <w:t>Ensure grayscale legibility for print workflows.</w:t>
      </w:r>
    </w:p>
    <w:p>
      <w:pPr>
        <w:pStyle w:val="ListBullet"/>
      </w:pPr>
      <w:r>
        <w:t>Keep scientific claims in manuscript text/tables; flowchart is explanatory only.</w:t>
      </w:r>
    </w:p>
    <w:p>
      <w:r>
        <w:t>Proposed figure files:</w:t>
      </w:r>
    </w:p>
    <w:p>
      <w:pPr>
        <w:pStyle w:val="ListBullet"/>
      </w:pPr>
      <w:r>
        <w:t>figures/figure00_workflow_flowchart.png</w:t>
      </w:r>
      <w:r>
        <w:t xml:space="preserve"> (working draft)</w:t>
      </w:r>
    </w:p>
    <w:p>
      <w:pPr>
        <w:pStyle w:val="ListBullet"/>
      </w:pPr>
      <w:r>
        <w:t>figures/figure00_workflow_flowchart.tiff</w:t>
      </w:r>
      <w:r>
        <w:t xml:space="preserve"> (submission-ready raster)</w:t>
      </w:r>
    </w:p>
    <w:p>
      <w:pPr>
        <w:pStyle w:val="ListBullet"/>
      </w:pPr>
      <w:r>
        <w:t>figures/figure00_workflow_flowchart.eps</w:t>
      </w:r>
      <w:r>
        <w:t xml:space="preserve"> (submission-ready vector)</w:t>
      </w:r>
    </w:p>
    <w:p>
      <w:pPr>
        <w:pStyle w:val="Heading3"/>
      </w:pPr>
      <w:r>
        <w:t>Infographic-style quick panel</w:t>
      </w:r>
    </w:p>
    <w:p>
      <w:r>
        <w:t>If needed, add a one-panel “study at a glance” infographic summarizing:</w:t>
      </w:r>
    </w:p>
    <w:p>
      <w:pPr>
        <w:pStyle w:val="ListBullet"/>
      </w:pPr>
      <w:r>
        <w:t>Problem context</w:t>
      </w:r>
    </w:p>
    <w:p>
      <w:pPr>
        <w:pStyle w:val="ListBullet"/>
      </w:pPr>
      <w:r>
        <w:t>Workflow contribution</w:t>
      </w:r>
    </w:p>
    <w:p>
      <w:pPr>
        <w:pStyle w:val="ListBullet"/>
      </w:pPr>
      <w:r>
        <w:t>Validation evidence anchor</w:t>
      </w:r>
    </w:p>
    <w:p>
      <w:pPr>
        <w:pStyle w:val="ListBullet"/>
      </w:pPr>
      <w:r>
        <w:t>Claim boundary statement</w:t>
      </w:r>
    </w:p>
    <w:p>
      <w:pPr>
        <w:pStyle w:val="Heading2"/>
      </w:pPr>
      <w:r>
        <w:t>Figures and visual walkthrough</w:t>
      </w:r>
    </w:p>
    <w:p>
      <w:r>
        <w:t>Figure 1. Full-page interface overview.</w:t>
      </w:r>
    </w:p>
    <w:p>
      <w:r>
        <w:t>Figure 2. Full-page model/analysis workflow view.</w:t>
      </w:r>
    </w:p>
    <w:p>
      <w:r>
        <w:t>Figure 3. Full-page results view.</w:t>
      </w:r>
    </w:p>
    <w:p>
      <w:r>
        <w:t>Figure 4. Full-page bias/sensitivity or robustness view.</w:t>
      </w:r>
    </w:p>
    <w:p>
      <w:r>
        <w:t>Figure 5. Full-page reporting/export or advanced workflow view.</w:t>
      </w:r>
    </w:p>
    <w:p>
      <w:r>
        <w:t>Additional workflow and architecture visuals are presented in-document through the visual abstract and structured tables.</w:t>
      </w:r>
    </w:p>
    <w:p>
      <w:pPr>
        <w:pStyle w:val="Heading3"/>
      </w:pPr>
      <w:r>
        <w:t>Submission figure files (separate, 300 DPI; screenshots only)</w:t>
      </w:r>
    </w:p>
    <w:p>
      <w:r>
        <w:t>Only full-page screenshots (Figures 1-5) are submitted as separate figure files.</w:t>
      </w:r>
    </w:p>
    <w:p>
      <w:pPr>
        <w:pStyle w:val="ListBullet"/>
      </w:pPr>
      <w:r>
        <w:t>figures/figure01_overview_fullpage.tiff</w:t>
      </w:r>
      <w:r>
        <w:t xml:space="preserve"> and </w:t>
      </w:r>
      <w:r>
        <w:t>figures/figure01_overview_fullpage.eps</w:t>
      </w:r>
    </w:p>
    <w:p>
      <w:pPr>
        <w:pStyle w:val="ListBullet"/>
      </w:pPr>
      <w:r>
        <w:t>figures/figure02_model_fullpage.tiff</w:t>
      </w:r>
      <w:r>
        <w:t xml:space="preserve"> and </w:t>
      </w:r>
      <w:r>
        <w:t>figures/figure02_model_fullpage.eps</w:t>
      </w:r>
    </w:p>
    <w:p>
      <w:pPr>
        <w:pStyle w:val="ListBullet"/>
      </w:pPr>
      <w:r>
        <w:t>figures/figure03_results_fullpage.tiff</w:t>
      </w:r>
      <w:r>
        <w:t xml:space="preserve"> and </w:t>
      </w:r>
      <w:r>
        <w:t>figures/figure03_results_fullpage.eps</w:t>
      </w:r>
    </w:p>
    <w:p>
      <w:pPr>
        <w:pStyle w:val="ListBullet"/>
      </w:pPr>
      <w:r>
        <w:t>figures/figure04_bias_fullpage.tiff</w:t>
      </w:r>
      <w:r>
        <w:t xml:space="preserve"> and </w:t>
      </w:r>
      <w:r>
        <w:t>figures/figure04_bias_fullpage.eps</w:t>
      </w:r>
    </w:p>
    <w:p>
      <w:pPr>
        <w:pStyle w:val="ListBullet"/>
      </w:pPr>
      <w:r>
        <w:t>figures/figure05_report_fullpage.tiff</w:t>
      </w:r>
      <w:r>
        <w:t xml:space="preserve"> and </w:t>
      </w:r>
      <w:r>
        <w:t>figures/figure05_report_fullpage.eps</w:t>
      </w:r>
    </w:p>
    <w:p>
      <w:pPr>
        <w:pStyle w:val="Heading3"/>
      </w:pPr>
      <w:r>
        <w:t>Table 3. Reproducibility and submission readiness map</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Item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Local artifact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Current status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Action before external submission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Example walkthrough dataset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truthcert-ma\node_modules\ajv\lib\refs\data.json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Verify rerun on clean machine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summary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f1000_artifacts/validation_summary.md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Confirm numbers and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User walkthrough</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f1000_artifacts/tutorial_walkthrough.md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Align screenshots/captions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Repository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[TO_BE_ADDED_GITHUB_OR_GITLAB_URL]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Replace after final tagging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DOI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[TO_BE_ADDED_ZENODO_DOI]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Replace after Zenodo archive creation</w:t>
            </w:r>
          </w:p>
        </w:tc>
      </w:tr>
    </w:tbl>
    <w:p/>
    <w:p>
      <w:pPr>
        <w:pStyle w:val="Heading2"/>
      </w:pPr>
      <w:r>
        <w:t>Software availability</w:t>
      </w:r>
    </w:p>
    <w:p>
      <w:pPr>
        <w:pStyle w:val="ListBullet"/>
      </w:pPr>
      <w:r>
        <w:t xml:space="preserve">Local source package: </w:t>
      </w:r>
      <w:r>
        <w:t>Truthcert1</w:t>
      </w:r>
      <w:r>
        <w:t xml:space="preserve"> under </w:t>
      </w:r>
      <w:r>
        <w:t>C:\HTML apps</w:t>
      </w:r>
      <w:r>
        <w:t>.</w:t>
      </w:r>
    </w:p>
    <w:p>
      <w:pPr>
        <w:pStyle w:val="ListBullet"/>
      </w:pPr>
      <w:r>
        <w:t xml:space="preserve">Public repository (placeholder): </w:t>
      </w:r>
      <w:r>
        <w:t>[TO_BE_ADDED_GITHUB_OR_GITLAB_URL]</w:t>
      </w:r>
    </w:p>
    <w:p>
      <w:pPr>
        <w:pStyle w:val="ListBullet"/>
      </w:pPr>
      <w:r>
        <w:t xml:space="preserve">Zenodo DOI (placeholder): </w:t>
      </w:r>
      <w:r>
        <w:t>[TO_BE_ADDED_ZENODO_DOI]</w:t>
      </w:r>
    </w:p>
    <w:p>
      <w:pPr>
        <w:pStyle w:val="ListBullet"/>
      </w:pPr>
      <w:r>
        <w:t>Version: see manuscript title and application UI version label.</w:t>
      </w:r>
    </w:p>
    <w:p>
      <w:pPr>
        <w:pStyle w:val="ListBullet"/>
      </w:pPr>
      <w:r>
        <w:t xml:space="preserve">Reproducibility walkthrough: </w:t>
      </w:r>
      <w:r>
        <w:t>f1000_artifacts/tutorial_walkthrough.md</w:t>
      </w:r>
    </w:p>
    <w:p>
      <w:pPr>
        <w:pStyle w:val="ListBullet"/>
      </w:pPr>
      <w:r>
        <w:t xml:space="preserve">Validation summary: </w:t>
      </w:r>
      <w:r>
        <w:t>f1000_artifacts/validation_summary.md</w:t>
      </w:r>
    </w:p>
    <w:p>
      <w:pPr>
        <w:pStyle w:val="ListBullet"/>
      </w:pPr>
      <w:r>
        <w:t xml:space="preserve">License: see package </w:t>
      </w:r>
      <w:r>
        <w:t>LICENSE</w:t>
      </w:r>
      <w:r>
        <w:t xml:space="preserve"> file.</w:t>
      </w:r>
    </w:p>
    <w:p>
      <w:pPr>
        <w:pStyle w:val="ListBullet"/>
      </w:pPr>
      <w:r>
        <w:t>Note: repository and DOI placeholders are intentionally retained until release archival is finalized.</w:t>
      </w:r>
    </w:p>
    <w:p>
      <w:pPr>
        <w:pStyle w:val="Heading2"/>
      </w:pPr>
      <w:r>
        <w:t>Data availability</w:t>
      </w:r>
    </w:p>
    <w:p>
      <w:r>
        <w:t xml:space="preserve">No new participant-level clinical data were generated for this software article package. Example dataset for reviewer walkthrough: </w:t>
      </w:r>
      <w:r>
        <w:t>truthcert-ma\node_modules\ajv\lib\refs\data.json</w:t>
      </w:r>
      <w:r>
        <w:t>. Additional project data assets, where present, remain available within the local package tree.</w:t>
      </w:r>
    </w:p>
    <w:p>
      <w:pPr>
        <w:pStyle w:val="Heading2"/>
      </w:pPr>
      <w:r>
        <w:t>Reporting guidelines</w:t>
      </w:r>
    </w:p>
    <w:p>
      <w:r>
        <w:t xml:space="preserve">Real-peer-review-aligned checklist included: </w:t>
      </w:r>
      <w:r>
        <w:t>F1000_Submission_Checklist_RealReview.md</w:t>
      </w:r>
      <w:r>
        <w:t xml:space="preserve">. This checklist directly addresses the criticisms documented in </w:t>
      </w:r>
      <w:r>
        <w:t>C:\HTML apps\reviewer Report.txt</w:t>
      </w:r>
      <w:r>
        <w:t>.</w:t>
      </w:r>
    </w:p>
    <w:p>
      <w:pPr>
        <w:pStyle w:val="Heading2"/>
      </w:pPr>
      <w:r>
        <w:t>Declarations</w:t>
      </w:r>
    </w:p>
    <w:p>
      <w:pPr>
        <w:pStyle w:val="Heading3"/>
      </w:pPr>
      <w:r>
        <w:t>Competing interests</w:t>
      </w:r>
    </w:p>
    <w:p>
      <w:r>
        <w:t>The author declares that no competing interests were disclosed.</w:t>
      </w:r>
    </w:p>
    <w:p>
      <w:pPr>
        <w:pStyle w:val="Heading3"/>
      </w:pPr>
      <w:r>
        <w:t>Grant information</w:t>
      </w:r>
    </w:p>
    <w:p>
      <w:r>
        <w:t>No specific grant was declared for this manuscript draft.</w:t>
      </w:r>
    </w:p>
    <w:p>
      <w:pPr>
        <w:pStyle w:val="Heading3"/>
      </w:pPr>
      <w:r>
        <w:t>Author contributions (CRediT)</w:t>
      </w:r>
    </w:p>
    <w:tbl>
      <w:tblPr>
        <w:tblStyle w:val="TableGrid"/>
        <w:tblW w:type="auto" w:w="0"/>
        <w:tblLayout w:type="autofit"/>
        <w:tblLook w:firstColumn="1" w:firstRow="1" w:lastColumn="0" w:lastRow="0" w:noHBand="0" w:noVBand="1" w:val="04A0"/>
      </w:tblPr>
      <w:tblGrid>
        <w:gridCol w:w="4320"/>
        <w:gridCol w:w="4320"/>
      </w:tblGrid>
      <w:tr>
        <w:trPr>
          <w:tblHeader w:val="true"/>
        </w:trP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Author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CRediT roles</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Mahmood Ahmad</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 Software; Validation; Data curation; Writing - original draft; Writing - review and editing</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Niraj Kumar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Bilaal Dar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Laiba Khan</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Andrew Woo</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bl>
    <w:p/>
    <w:p>
      <w:pPr>
        <w:pStyle w:val="Heading3"/>
      </w:pPr>
      <w:r>
        <w:t>Acknowledgements</w:t>
      </w:r>
    </w:p>
    <w:p>
      <w:r>
        <w:t>The author acknowledges contributors to open statistical methods and browser-based scientific visualization ecosystems.</w:t>
      </w:r>
    </w:p>
    <w:p>
      <w:pPr>
        <w:pStyle w:val="Heading2"/>
      </w:pPr>
      <w:r>
        <w:t>References</w:t>
      </w:r>
    </w:p>
    <w:p>
      <w:r>
        <w:t>1. DerSimonian R, Laird N. Meta-analysis in clinical trials. Controlled Clinical Trials. 1986;7(3):177-188.</w:t>
      </w:r>
    </w:p>
    <w:p>
      <w:r>
        <w:t>2. Higgins JPT, Thompson SG. Quantifying heterogeneity in a meta-analysis. Statistics in Medicine. 2002;21(11):1539-1558.</w:t>
      </w:r>
    </w:p>
    <w:p>
      <w:r>
        <w:t>3. Page MJ, McKenzie JE, Bossuyt PM, et al. The PRISMA 2020 statement: an updated guideline for reporting systematic reviews. BMJ. 2021;372:n71.</w:t>
      </w:r>
    </w:p>
    <w:p>
      <w:r>
        <w:t>4. Guyatt GH, Oxman AD, Vist GE, et al. GRADE: an emerging consensus on rating quality of evidence and strength of recommendations. BMJ. 2008;336(7650):924-926.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595959"/>
        <w:sz w:val="17"/>
      </w:rPr>
      <w:t>F1000 Software Tool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mbria" w:hAnsi="Cambria"/>
      <w:b/>
      <w:bCs/>
      <w:color w:val="0F4C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F4C7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0F4C7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0F4C7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