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20" w:line="276"/>
      </w:pPr>
      <w:r>
        <w:rPr>
          <w:b/>
          <w:bCs/>
        </w:rPr>
        <w:t xml:space="preserve">Independent cross-vendor witness. </w:t>
      </w:r>
      <w:r>
        <w:t xml:space="preserve">An external vendor (Codex, GPT-5.5), given only the per-analysis records, the senn2013 dataset, and a written specification — and instructed to import none of our code — implemented its own aggregation, its own random-effects NMA, and its own bootstrap. It reproduced the engine-free claims to four decimal places (κ_pooled 0.15759 vs 0.1576; corr +0.50142 vs +0.501; identical per-class κ_MD and class set) and, on its own NMA engine, reproduced the truth-gate relationship exactly: the frozen external κ tracks the oracle at B = 0.15 (its ΔMCIW0 −0.1020 vs oracle −0.1018, within 0.0002; both win), over-corrects at B = 0 (+0.055), and under-corrects at B = 0.30 — verdict "CONFIRMS". Absolute ΔMCIW0 levels differ slightly from ours (−0.102 vs −0.119 at B = 0.15) only because of the independent NMA implementation and RNG; the conclusion is identical.</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2"/>
      </w:pPr>
      <w:r>
        <w:t xml:space="preserve">3.6 Generalisation to a second real network (depression, log-odds scale)</w:t>
      </w:r>
    </w:p>
    <w:p>
      <w:pPr>
        <w:spacing w:after="120" w:line="276"/>
      </w:pPr>
      <w:r>
        <w:t xml:space="preserve">To test the method beyond diabetes we applied it end-to-end to a second, independent real network in a different domain and effect scale: dat.linde2015 (metadat), 66 antidepressant RCTs for major depression with arms grouped by class (SSRI, SNRI, TCA, atypical [NaSSa/SARI], MAOI [rMAO-A], plus NRI and Hypericum), outcome = treatment response, reduced to pairwise log-odds-ratio contrasts and fitted with the same engine. The network is sensible (9 treatments, 59 studies, τ = 0.18, I² = 0%; Hypericum/SNRI/TCA/SSRI all beat placebo, OR ≈ 1.7–1.9). We overlaid the real depression-class registry λ and applied the diabetes-frozen external κ = 0.158 as a cross-domain transfer test. On the truth-gate (Table 5), the registry corrections again beat every internal funnel model — PET-PEESE is catastrophic (ΔMCIW0 ≈ +1.2 at every B, worse than on diabetes because log-OR contrasts on few studies are even noisier); trim-and-fill harms; Henmi–Copas is inert. The oracle wins at B ≥ 0.15 and is exactly inert at B = 0, and the diabetes-frozen κ transfers: it improves matched-coverage error at every B, including a mild B = 0 gain (−0.042). That B = 0 behaviour is the reverse of diabetes (+0.05 cost) and is a network-specific bias–variance effect — here the low-λ classes also happen to have small placebo-relative effects, so registry-prescribed shrinkage toward the null reduces tail error rather than adding bias; the oracle remains exactly inert as designed. The core claims — registry beats internal funnel methods, PET catastrophic, external κ deployable and transferable — reproduce on a second real network.</w:t>
      </w:r>
    </w:p>
    <w:p>
      <w:pPr>
        <w:spacing w:after="100" w:before="60"/>
      </w:pPr>
      <w:r>
        <w:rPr>
          <w:b/>
          <w:bCs/>
          <w:sz w:val="18"/>
          <w:szCs w:val="18"/>
        </w:rPr>
        <w:t xml:space="preserve">Table 5. </w:t>
      </w:r>
      <w:r>
        <w:rPr>
          <w:sz w:val="18"/>
          <w:szCs w:val="18"/>
        </w:rPr>
        <w:t xml:space="preserve">Truth-gate on the second real network (dat.linde2015, response log-OR; matched-coverage ΔMCIW0 vs unadjusted NMA). 'ext (diab κ=0.158)' applies the diabetes-frozen external magnitude to the depression network (cross-domain transfer). Source: linde_nma_result.json.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80"/>
        <w:gridCol w:w="1720"/>
        <w:gridCol w:w="1440"/>
        <w:gridCol w:w="1360"/>
        <w:gridCol w:w="1300"/>
        <w:gridCol w:w="980"/>
      </w:tblGrid>
      <w:tr>
        <w:trPr>
          <w:tblHeader/>
        </w:trPr>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w:t>
            </w:r>
          </w:p>
        </w:tc>
        <w:tc>
          <w:tcPr>
            <w:tcW w:type="dxa" w:w="1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 (diab κ=0.158)</w:t>
            </w:r>
          </w:p>
        </w:tc>
        <w:tc>
          <w:tcPr>
            <w:tcW w:type="dxa" w:w="14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κ=0.5</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PET</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TF</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HC</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−0.042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−0.025 tie</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+1.224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−0.062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−0.065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−0.088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+1.195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−0.133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−0.084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+1.174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+0.046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bl>
    <w:p>
      <w:pPr>
        <w:spacing w:after="120" w:line="276"/>
      </w:pPr>
      <w:r>
        <w:t xml:space="preserve"/>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Generalisation. </w:t>
      </w:r>
      <w:r>
        <w:t xml:space="preserve">The core results are not diabetes-specific: they reproduce on a second real network in a different domain and effect scale (depression, response log-odds; §3.6), where the registry corrections again beat every internal funnel model, PET-PEESE is again catastrophic, and the diabetes-frozen external κ transfers as a beneficial correction. The external validation (published-versus-registered gap tracking registry severity) also reproduces in the antidepressant domain on a scale-invariant measure.</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Diabetes (7 classes) remains the primary validation; antidepressants corroborate it in a second, independent domain.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2026-07-04T08:18:33.327Z</dcterms:created>
  <dcterms:modified xsi:type="dcterms:W3CDTF">2026-07-04T08:18:33.328Z</dcterms:modified>
</cp:coreProperties>
</file>

<file path=docProps/custom.xml><?xml version="1.0" encoding="utf-8"?>
<Properties xmlns="http://schemas.openxmlformats.org/officeDocument/2006/custom-properties" xmlns:vt="http://schemas.openxmlformats.org/officeDocument/2006/docPropsVTypes"/>
</file>