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30"/>
          <w:szCs w:val="30"/>
        </w:rPr>
        <w:t xml:space="preserve">Registry-informed relevance-weighted borrowing for meta-analysis: when it helps, when it is inert, and the transportability boundary</w:t>
      </w:r>
    </w:p>
    <w:p>
      <w:pPr>
        <w:spacing w:after="40" w:line="276"/>
      </w:pPr>
      <w:r>
        <w:rPr>
          <w:b/>
          <w:bCs/>
        </w:rPr>
        <w:t xml:space="preserve">Mahmood Ahmad</w:t>
      </w:r>
      <w:r>
        <w:rPr>
          <w:vertAlign w:val="superscript"/>
        </w:rPr>
        <w:t xml:space="preserve">¹²</w:t>
      </w:r>
    </w:p>
    <w:p>
      <w:pPr>
        <w:spacing w:after="20" w:line="276"/>
      </w:pPr>
      <w:r>
        <w:rPr>
          <w:sz w:val="18"/>
          <w:szCs w:val="18"/>
        </w:rPr>
        <w:t xml:space="preserve">¹ </w:t>
      </w:r>
      <w:r>
        <w:rPr>
          <w:sz w:val="18"/>
          <w:szCs w:val="18"/>
        </w:rPr>
        <w:t xml:space="preserve">Royal Free Hospital, London, United Kingdom</w:t>
      </w:r>
    </w:p>
    <w:p>
      <w:pPr>
        <w:spacing w:after="40" w:line="276"/>
      </w:pPr>
      <w:r>
        <w:rPr>
          <w:sz w:val="18"/>
          <w:szCs w:val="18"/>
        </w:rPr>
        <w:t xml:space="preserve">² </w:t>
      </w:r>
      <w:r>
        <w:rPr>
          <w:sz w:val="18"/>
          <w:szCs w:val="18"/>
        </w:rPr>
        <w:t xml:space="preserve">Tahir Heart Institute, Rabwah, Pakistan</w:t>
      </w:r>
    </w:p>
    <w:p>
      <w:pPr>
        <w:spacing w:after="80" w:line="276"/>
      </w:pPr>
      <w:r>
        <w:rPr>
          <w:sz w:val="18"/>
          <w:szCs w:val="18"/>
        </w:rPr>
        <w:t xml:space="preserve">ORCID: 0000-0001-9107-3704. Correspondence: Mahmood Ahmad (mahmood726@gmail.com).</w:t>
      </w:r>
    </w:p>
    <w:p>
      <w:pPr>
        <w:spacing w:after="40" w:line="276"/>
      </w:pPr>
      <w:r>
        <w:rPr>
          <w:b/>
          <w:bCs/>
          <w:sz w:val="18"/>
          <w:szCs w:val="18"/>
        </w:rPr>
        <w:t xml:space="preserve">Competing interests. </w:t>
      </w:r>
      <w:r>
        <w:rPr>
          <w:sz w:val="18"/>
          <w:szCs w:val="18"/>
        </w:rPr>
        <w:t xml:space="preserve">The author is an honorary member of the editorial board of Synthēsis (former Editor-in-Chief) and had no role in the handling, peer review, or editorial decision-making for this manuscript; any submission would be handled independently by another editor of the journal.</w:t>
      </w:r>
    </w:p>
    <w:p>
      <w:pPr>
        <w:spacing w:after="40" w:line="276"/>
      </w:pPr>
      <w:r>
        <w:rPr>
          <w:b/>
          <w:bCs/>
          <w:sz w:val="18"/>
          <w:szCs w:val="18"/>
        </w:rPr>
        <w:t xml:space="preserve">Funding. </w:t>
      </w:r>
      <w:r>
        <w:rPr>
          <w:sz w:val="18"/>
          <w:szCs w:val="18"/>
        </w:rPr>
        <w:t xml:space="preserve">None.</w:t>
      </w:r>
    </w:p>
    <w:p>
      <w:pPr>
        <w:spacing w:after="160" w:line="276"/>
      </w:pPr>
      <w:r>
        <w:rPr>
          <w:b/>
          <w:bCs/>
          <w:i/>
          <w:iCs/>
          <w:sz w:val="18"/>
          <w:szCs w:val="18"/>
        </w:rPr>
        <w:t xml:space="preserve">Provenance. </w:t>
      </w:r>
      <w:r>
        <w:rPr>
          <w:i/>
          <w:iCs/>
          <w:sz w:val="18"/>
          <w:szCs w:val="18"/>
        </w:rPr>
        <w:t xml:space="preserve">Every quantitative claim is transcribed from a committed report (REPORT_BORROWING_PILOT{,2,3,4}.md; REPORT_BORROWING_REPLICATION.md; borrowing/replication/REPORT_BORROWING_MULTISPECIALTY.md; borrowing/bcg/REPORT_BORROWING_BCG.md) and the result artifacts they were built from (pilot_bootstrap.json, pilot_scramble_bootstrap.json, sim_gate_results.json, real_glp1_summary.json, pilot3_loo_summary.json, sim_transport_results.json, probe_transport_summary.json, class_lambda.json, trials.json, probe_trials.json; replication/loo_results_v2.json, replication/multispecialty_loo.json; bcg/bcg_loo.json, bcg/bcg_trials.json). Values that exist only as summary statistics inside a report narrative are marked [report table]; all others are exact from the named artifact. No number here is computed fresh for this document; figures are regenerated from committed results by manuscript/make_borrowing_figures.py, which computes no new estimates. Branch methods-borrowing, F:\ubcma\borrowing.</w:t>
      </w:r>
    </w:p>
    <w:p>
      <w:pPr>
        <w:pStyle w:val="Heading1"/>
      </w:pPr>
      <w:r>
        <w:t xml:space="preserve">Abstract</w:t>
      </w:r>
    </w:p>
    <w:p>
      <w:pPr>
        <w:spacing w:after="120" w:line="276"/>
      </w:pPr>
      <w:r>
        <w:rPr>
          <w:b/>
          <w:bCs/>
        </w:rPr>
        <w:t xml:space="preserve">Background. </w:t>
      </w:r>
      <w:r>
        <w:t xml:space="preserve">Meta-analysis of a sparsely-studied treatment comparison routinely leaves borrowable information unused: a registry holds dozens of related trials whose effects, weighted by how relevant and how trustworthy they are, could sharpen the target estimate. The hazard is equally well known — borrow from sources that look similar but are not, and you import bias precisely where the target is most distinctive.</w:t>
      </w:r>
    </w:p>
    <w:p>
      <w:pPr>
        <w:spacing w:after="120" w:line="276"/>
      </w:pPr>
      <w:r>
        <w:rPr>
          <w:b/>
          <w:bCs/>
        </w:rPr>
        <w:t xml:space="preserve">Methods. </w:t>
      </w:r>
      <w:r>
        <w:t xml:space="preserve">We specify an auditable borrowing field — each source trial weighted by a covariate-relevance kernel × a registry selection-integrity ratio × precision — fused with the target's own evidence by conflict-discounted precision fusion under an a-priori stand-down, and subject it to a deliberately destructive, non-circular test: leave-one-trial-out (LOO) prediction of real held-out effects on real ClinicalTrials.gov (AACT) data, scored through a matched-coverage efficiency gate with paired-bootstrap inference. Three pre-registered pilots run on a Type-2-diabetes HbA1c slice.</w:t>
      </w:r>
    </w:p>
    <w:p>
      <w:pPr>
        <w:spacing w:after="120" w:line="276"/>
      </w:pPr>
      <w:r>
        <w:rPr>
          <w:b/>
          <w:bCs/>
        </w:rPr>
        <w:t xml:space="preserve">Results. </w:t>
      </w:r>
      <w:r>
        <w:t xml:space="preserve">(1) On a slice whose covariates do not predict effect heterogeneity, the borrowing field is inert — it collapses to generic shrink-to-the-mean (indistinguishable from a no-relevance null and a scrambled-relevance null) and robustly harms the data-rich outlier class (ΔMCIW0 = +0.256 [+0.185, +0.303] vs standard NMA). (2) On a slice with a genuine measured modifier — GLP1 dose (slope −0.092 %HbA1c/mg, permutation p = 0.01, R² = 0.94, n = 12) — relevance-weighted borrowing beats both nulls on real held-out effects (rel − uniform and rel − scrambled mean-absolute-error advantages with paired-bootstrap CIs excluding 0), is inert at β = 0 (reproducing pilot 1), and — once the own⊕prior fusion is switched from a 2-member AdaptShrink panel to conflict-discounted precision fusion — never harms (the outlier harm falls +0.175 → +0.002, n.s.). (3) Adding a population transportability layer (World Bank obesity, real recruiting countries) does not beat relevance-only on this slice (Δ = +0.022 [−0.037, +0.082], n.s.), because the population covariate carries no signal after drug class (class-adjusted slope −0.002, p = 0.97; a Simpson reversal). A calibrated simulation with the same real trial structure but a tunable modifier shows the transport machinery is correct — inert at β = 0 and target = pool, reproducing the real null at β = 0.006, and beating relevance-only monotonically once β ≳ 0.02.</w:t>
      </w:r>
    </w:p>
    <w:p>
      <w:pPr>
        <w:spacing w:after="120" w:line="276"/>
      </w:pPr>
      <w:r>
        <w:rPr>
          <w:b/>
          <w:bCs/>
        </w:rPr>
        <w:t xml:space="preserve">Replication and extension. </w:t>
      </w:r>
      <w:r>
        <w:t xml:space="preserve">The relevance win reproduces on a second independent GLP1-class slice (a different outcome and a different modifier type) and then, pooling five clean qualifiers across three specialties (endocrine/metabolic, education, oncology), tightens to a robustly significant scale-free MAE reduction of −10.9% [−20.2%, −1.5%] versus the no-relevance null and −12.4% [−22.8%, −2.0%] versus scrambled. On dat.bcg — 13 placebo-controlled BCG-vaccine trials where absolute latitude is a genuinely strong effect modifier (metafor REML permutation p = 0.0052) — the full transportability-standardised method robustly beats textbook random-effects pooling on real held-out log risk ratios (transport − NMA −0.198 [−0.344, −0.041]), and a target = wrong-population control hurts (+0.187 [+0.017, +0.347]); its incremental margin over relevance-only is directional but k = 13-underpowered.</w:t>
      </w:r>
    </w:p>
    <w:p>
      <w:pPr>
        <w:spacing w:after="120" w:line="276"/>
      </w:pPr>
      <w:r>
        <w:rPr>
          <w:b/>
          <w:bCs/>
        </w:rPr>
        <w:t xml:space="preserve">Conclusions. </w:t>
      </w:r>
      <w:r>
        <w:t xml:space="preserve">Registry-informed relevance-weighted borrowing is a real, validated contribution exactly to the degree a measured covariate predicts the effect; its provable inertia when no such covariate exists is the central honesty result, not a failure. Population transportability is a correct extension, now validated against the textbook baseline on real strong-modifier (BCG) data with the relevance-incremental margin bounded by k, and carrying a quantified power threshold (β ≳ 0.02) that the registry's placebo-anchored slices structurally fail to clear.</w:t>
      </w:r>
    </w:p>
    <w:p>
      <w:pPr>
        <w:spacing w:after="120" w:line="276"/>
      </w:pPr>
      <w:r>
        <w:rPr>
          <w:b/>
          <w:bCs/>
        </w:rPr>
        <w:t xml:space="preserve">Keywords: </w:t>
      </w:r>
      <w:r>
        <w:t xml:space="preserve">evidence borrowing; informative priors; transportability; publication/selection bias; matched-coverage efficiency; leave-one-out validation; registry meta-analysis; reproducibility.</w:t>
      </w:r>
    </w:p>
    <w:p>
      <w:r>
        <w:br w:type="page"/>
      </w:r>
    </w:p>
    <w:p>
      <w:pPr>
        <w:pStyle w:val="Heading1"/>
      </w:pPr>
      <w:r>
        <w:t xml:space="preserve">1. Background and objective</w:t>
      </w:r>
    </w:p>
    <w:p>
      <w:pPr>
        <w:spacing w:after="120" w:line="276"/>
      </w:pPr>
      <w:r>
        <w:t xml:space="preserve">Borrowing strength across studies — power priors, commensurate priors, meta-analytic-predictive (MAP) priors, robust mixture priors — is well developed for designed borrowing, where there is a defined historical control or a known prior study. What is missing is a principled, auditable way to borrow from an entire registry at once, where the relevance of each source is uncertain and where registry trials differ in trustworthiness through selective reporting and non-posting. The hazard is well known: borrow from sources that look similar but are not, and bias is imported precisely where the target is most distinctive.</w:t>
      </w:r>
    </w:p>
    <w:p>
      <w:pPr>
        <w:spacing w:after="120" w:line="276"/>
      </w:pPr>
      <w:r>
        <w:t xml:space="preserve">This report asks one falsifiable question and refuses to answer it with a simulation alone: does forming a borrowing prior from a registry field — each source weighted by relevance × selection-integrity × precision, fused with an explicit stand-down — beat standard meta-analysis on real held-out effects, with maintained calibration, and is any benefit attributable to the relevance structure rather than to generic shrinkage? We answer it three times, on progressively more demanding slices, with negative controls designed to kill the thesis if it is hollow.</w:t>
      </w:r>
    </w:p>
    <w:p>
      <w:pPr>
        <w:pStyle w:val="Heading1"/>
      </w:pPr>
      <w:r>
        <w:t xml:space="preserve">2. Methods</w:t>
      </w:r>
    </w:p>
    <w:p>
      <w:pPr>
        <w:pStyle w:val="Heading2"/>
      </w:pPr>
      <w:r>
        <w:t xml:space="preserve">2.1 The borrowing field</w:t>
      </w:r>
    </w:p>
    <w:p>
      <w:pPr>
        <w:spacing w:after="120" w:line="276"/>
      </w:pPr>
      <w:r>
        <w:t xml:space="preserve">For a target comparison t with sparse direct evidence, every other trial s in the registry slice contributes to a borrowing prior with weight w</w:t>
      </w:r>
      <w:r>
        <w:rPr>
          <w:vertAlign w:val="subscript"/>
        </w:rPr>
        <w:t xml:space="preserve">s</w:t>
      </w:r>
      <w:r>
        <w:t xml:space="preserve"> = relevance(x</w:t>
      </w:r>
      <w:r>
        <w:rPr>
          <w:vertAlign w:val="subscript"/>
        </w:rPr>
        <w:t xml:space="preserve">s</w:t>
      </w:r>
      <w:r>
        <w:t xml:space="preserve">, x</w:t>
      </w:r>
      <w:r>
        <w:rPr>
          <w:vertAlign w:val="subscript"/>
        </w:rPr>
        <w:t xml:space="preserve">t</w:t>
      </w:r>
      <w:r>
        <w:t xml:space="preserve">) × λ</w:t>
      </w:r>
      <w:r>
        <w:rPr>
          <w:vertAlign w:val="subscript"/>
        </w:rPr>
        <w:t xml:space="preserve">s</w:t>
      </w:r>
      <w:r>
        <w:t xml:space="preserve"> × precision</w:t>
      </w:r>
      <w:r>
        <w:rPr>
          <w:vertAlign w:val="subscript"/>
        </w:rPr>
        <w:t xml:space="preserve">s</w:t>
      </w:r>
      <w:r>
        <w:t xml:space="preserve">. Relevance is a Gaussian kernel on covariate distance, exp(−‖x</w:t>
      </w:r>
      <w:r>
        <w:rPr>
          <w:vertAlign w:val="subscript"/>
        </w:rPr>
        <w:t xml:space="preserve">s</w:t>
      </w:r>
      <w:r>
        <w:t xml:space="preserve"> − x</w:t>
      </w:r>
      <w:r>
        <w:rPr>
          <w:vertAlign w:val="subscript"/>
        </w:rPr>
        <w:t xml:space="preserve">t</w:t>
      </w:r>
      <w:r>
        <w:t xml:space="preserve">‖² / 2h²); in the flat-covariate pilot the covariates are mechanism class + baseline HbA1c, and in the modifier-bearing pilot it is a one-dimensional kernel on GLP1 dose with bandwidth fixed a priori at the dose SD (4.54 mg). Selection-integrity λ is a GWAM-style registry-linkage ratio (results-posted ÷ registered) per source class, fixed before scoring (committed values: GLP1 0.360, DPP4 0.481, SGLT2 0.338, metformin 0.400, SU 0.467, TZD 0.421, insulin 0.362). Precision is the inverse sampling variance of the source effect. The weighted field collapses to a single prior (mean, variance) by precision-weighted pooling at the field's between-trial variance.</w:t>
      </w:r>
    </w:p>
    <w:p>
      <w:pPr>
        <w:pStyle w:val="Heading2"/>
      </w:pPr>
      <w:r>
        <w:t xml:space="preserve">2.2 Conflict-discounted precision fusion (own ⊕ prior)</w:t>
      </w:r>
    </w:p>
    <w:p>
      <w:pPr>
        <w:spacing w:after="120" w:line="276"/>
      </w:pPr>
      <w:r>
        <w:t xml:space="preserve">The target's own REML-pooled estimate is fused with the borrowing prior by a power-prior-style precision fusion: the prior contributes effective precision δ / se₀², where δ ∈ (0, 1] is the conflict discount of §2.3. A precise own-estimate therefore dominates automatically. This replaces the 2-member AdaptShrink panel used in pilot 1. AdaptShrink — the program's bias-corrected shrinkage estimator — is correct for ≥3-member panels (its design case), but its weight 1/(se² + (μ − median)²) adds the same disagreement term to both members of a 2-member own⊕prior fusion, so a confidently-wrong prior retains ~16–19% weight no matter how precise the own data is. Diagnosing this as the true source of pilot 1's rich-regime harm, and switching to precision fusion, is one of the report's substantive findings (§4.4).</w:t>
      </w:r>
    </w:p>
    <w:p>
      <w:pPr>
        <w:pStyle w:val="Heading2"/>
      </w:pPr>
      <w:r>
        <w:t xml:space="preserve">2.3 A-priori stand-down (prior-data conflict)</w:t>
      </w:r>
    </w:p>
    <w:p>
      <w:pPr>
        <w:spacing w:after="120" w:line="276"/>
      </w:pPr>
      <w:r>
        <w:t xml:space="preserve">Conflict is measured by Q = (μ₀ − μ_p)² / (se₀² + se_p²), prior versus the target's own pooled estimate. The discount is δ = exp(−η · max(0, Q − c₀)) with non-tuned, pre-fixed η = 0.5 and c₀ = 1; a hardened variant caps borrowing past Q_MAX = 4 (≈ 2σ). Constants were fixed before any scoring and were not retuned to rescue any cell. Under conflict the prior's effective precision is withdrawn and the estimate falls back toward no-borrowing with a widened interval.</w:t>
      </w:r>
    </w:p>
    <w:p>
      <w:pPr>
        <w:pStyle w:val="Heading2"/>
      </w:pPr>
      <w:r>
        <w:t xml:space="preserve">2.4 The evaluation gate, and why LOO is the non-circular anchor</w:t>
      </w:r>
    </w:p>
    <w:p>
      <w:pPr>
        <w:spacing w:after="120" w:line="276"/>
      </w:pPr>
      <w:r>
        <w:rPr>
          <w:b/>
          <w:bCs/>
        </w:rPr>
        <w:t xml:space="preserve">Matched-coverage efficiency (MCIW0). </w:t>
      </w:r>
      <w:r>
        <w:t xml:space="preserve">Methods are paired within a subsample; coverage is equalised by construction and interval widths are then compared (lower = narrower = better at equal coverage). The advantage over the no-borrow baseline is tested by paired bootstrap (2000 resamples); a robust win/harm requires the entire 95% CI on one side of 0. This is the same gate as truth-recovery/matched_coverage_bakeoff.py.</w:t>
      </w:r>
    </w:p>
    <w:p>
      <w:pPr>
        <w:spacing w:after="120" w:line="276"/>
      </w:pPr>
      <w:r>
        <w:rPr>
          <w:b/>
          <w:bCs/>
        </w:rPr>
        <w:t xml:space="preserve">Leave-one-trial-out (LOO) on real effects — the anchor. </w:t>
      </w:r>
      <w:r>
        <w:t xml:space="preserve">Each held-out trial's real effect is the truth; the prior is built from all other trials; error is measured against that real held-out value. This is non-circular: nothing about a held-out effect informs its own prediction, so a win cannot be an artifact of a simulation's data-generating process. Calibrated simulations are used only to supply known-truth boundary maps (the inert corner, the β-sweep) that real data cannot label.</w:t>
      </w:r>
    </w:p>
    <w:p>
      <w:pPr>
        <w:spacing w:after="120" w:line="276"/>
      </w:pPr>
      <w:r>
        <w:t xml:space="preserve">A standard random-effects / network meta-analysis (NMA) is the no-borrow comparator. It is not a strawman: in this star-shaped field the netmeta treatment effect for a spoke equals the inverse-variance pool of that spoke's direct trials (difference 8.9 × 10⁻¹⁶), i.e. standard NMA gets no indirect information to a spoke — precisely the structural gap borrowing is meant to exploit.</w:t>
      </w:r>
    </w:p>
    <w:p>
      <w:pPr>
        <w:pStyle w:val="Heading2"/>
      </w:pPr>
      <w:r>
        <w:t xml:space="preserve">2.5 Data</w:t>
      </w:r>
    </w:p>
    <w:p>
      <w:pPr>
        <w:spacing w:after="120" w:line="276"/>
      </w:pPr>
      <w:r>
        <w:t xml:space="preserve">Slice: AACT snapshot 2026-04-12; Type-2 diabetes, HbA1c-change mean differences vs placebo, extracted from outcome_analyses (reported between-group estimates with CIs → SE), classified by intervention keyword, with provenance (nct_id, analysis_id) per row: 5,041 T2DM trials → 4,078 HbA1c outcomes → 488 reported mean-difference analyses (478 sane) → 100 active-vs-placebo effects → 46 independent trial-level effects (Table 1). The three well-populated truths genuinely differ — GLP1 (−1.17) is far stronger than DPP4/SGLT2 (≈ −0.5) — giving the slice built-in kill-potential: borrowing should help the close classes but is a stand-down trap for the outlier. For pilot 3, AACT recruiting countries per trial (38/46 have country data; 12 single-country: US ×5, Japan ×4, China ×2, India ×1) are joined to World Bank adult obesity prevalence (SH.STA.OB18, BMI &gt; 30, 18+) as a population effect-modifier axis (US 36.2%, UK 27.8% vs Japan 4.2%, China 6.2%, India 3.9%). The children-under-5 overweight series (SH.STA.OWGH.ZS) was rejected after returning an implausible US value of 9.5%.</w:t>
      </w:r>
    </w:p>
    <w:p>
      <w:pPr>
        <w:spacing w:after="120"/>
      </w:pPr>
      <w:r>
        <w:rPr>
          <w:b/>
          <w:bCs/>
          <w:sz w:val="18"/>
          <w:szCs w:val="18"/>
        </w:rPr>
        <w:t xml:space="preserve">Table 1. </w:t>
      </w:r>
      <w:r>
        <w:rPr>
          <w:sz w:val="18"/>
          <w:szCs w:val="18"/>
        </w:rPr>
        <w:t xml:space="preserve">The AACT T2DM HbA1c slice. k trials and λ are exact (trials.json, class_lambda.json); REML μ* are the committed random-effects pools [report table, §2 of PILOT1].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2400"/>
        <w:gridCol w:w="2360"/>
        <w:gridCol w:w="1800"/>
      </w:tblGrid>
      <w:tr>
        <w:trPr>
          <w:tblHeader/>
        </w:trPr>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class</w:t>
            </w:r>
          </w:p>
        </w:tc>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k trials</w:t>
            </w:r>
          </w:p>
        </w:tc>
        <w:tc>
          <w:tcPr>
            <w:tcW w:type="dxa" w:w="24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REML μ* (HbA1c %)</w:t>
            </w:r>
          </w:p>
        </w:tc>
        <w:tc>
          <w:tcPr>
            <w:tcW w:type="dxa" w:w="2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selection-integrity λ</w:t>
            </w:r>
          </w:p>
        </w:tc>
        <w:tc>
          <w:tcPr>
            <w:tcW w:type="dxa" w:w="18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role</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GLP1</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17</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−1.172</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0.360</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target (outlier)</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DPP4</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14</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−0.606</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0.481</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target</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SGLT2</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13</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−0.522</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0.338</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target</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TZD</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−0.681</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0.421</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source only</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insulin</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−0.970</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0.362</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source only</w:t>
            </w:r>
          </w:p>
        </w:tc>
      </w:tr>
    </w:tbl>
    <w:p>
      <w:pPr>
        <w:spacing w:after="160" w:line="276"/>
      </w:pPr>
      <w:r>
        <w:t xml:space="preserve"/>
      </w:r>
    </w:p>
    <w:p>
      <w:pPr>
        <w:pStyle w:val="Heading1"/>
      </w:pPr>
      <w:r>
        <w:t xml:space="preserve">3. Pilot 1 — the inertia boundary (the central honesty result)</w:t>
      </w:r>
    </w:p>
    <w:p>
      <w:pPr>
        <w:spacing w:after="120" w:line="276"/>
      </w:pPr>
      <w:r>
        <w:t xml:space="preserve">On the base slice, whose covariates are near-uniform (baseline HbA1c ≈ 7.5–8.8%; only three effective classes, two with similar truths), the borrowing field fails the decisive test. Two of four binding requirements fail (Table 2).</w:t>
      </w:r>
    </w:p>
    <w:p>
      <w:pPr>
        <w:spacing w:after="120" w:line="276"/>
      </w:pPr>
      <w:r>
        <w:rPr>
          <w:b/>
          <w:bCs/>
        </w:rPr>
        <w:t xml:space="preserve">(b) “No worse in the data-rich regime” fails. </w:t>
      </w:r>
      <w:r>
        <w:t xml:space="preserve">Borrowing robustly harms the outlier class (GLP1) in the rich regime: ΔMCIW0 = +0.2556 [+0.1846, +0.3029] vs NMA, the entire 95% CI &gt; 0 (pilot_bootstrap.json). The stand-down detects the conflict (mean δ falls to ≈ 0.20) but the residual ~20% weight on a confidently-wrong prior — the sources mutually agree with each other, not with GLP1 — inflates both bias and width.</w:t>
      </w:r>
    </w:p>
    <w:p>
      <w:pPr>
        <w:spacing w:after="120" w:line="276"/>
      </w:pPr>
      <w:r>
        <w:rPr>
          <w:b/>
          <w:bCs/>
        </w:rPr>
        <w:t xml:space="preserve">(d) Negative controls fail. </w:t>
      </w:r>
      <w:r>
        <w:t xml:space="preserve">The one sparse-regime win (DPP4, ΔMCIW0 = −0.0387 [−0.0904, −0.0138]) is reproduced by a no-relevance null (shrink toward the precision-weighted field mean; relevance ≡ 1, λ ≡ 1): the null's DPP4-sparse advantage is −0.0731 [−0.1514, −0.0368] and its GLP1-rich harm is +0.2855 [+0.2071, +0.3295] — the null reproduces both the win and the harm. Isolating the gravity directly, borrow versus the null is within |ΔMCIW0| &lt; 0.04 in every one of the six cells (largest 0.034, of inconsistent sign), against the 0.04–0.26 borrow-vs-NMA effects. Scrambling the relevance map changes essentially nothing (pilot_scramble_bootstrap.json): DPP4-sparse −0.0436 [−0.0597, +0.0017], GLP1-rich harm +0.2338 [+0.168, +0.311] both persist.</w:t>
      </w:r>
    </w:p>
    <w:p>
      <w:pPr>
        <w:spacing w:after="120" w:line="276"/>
      </w:pPr>
      <w:r>
        <w:t xml:space="preserve">Reading: what helps on this slice is plain field-mean shrinkage; the relevance × integrity machinery — the actual thesis — is near-inert. The benefit cannot be distinguished from the null, does not depend on the relevance weighting, and the same mechanism robustly harms the data-rich outlier. Per the program's truth-first logic this is a negative result on the decisive question, and we do not proceed to a transportability layer on this evidence. Critically, the pilot localises why: the slice carried no learnable relevance signal for the kernel to grip (Figure 1).</w:t>
      </w:r>
    </w:p>
    <w:p>
      <w:pPr>
        <w:spacing w:after="120"/>
      </w:pPr>
      <w:r>
        <w:rPr>
          <w:b/>
          <w:bCs/>
          <w:sz w:val="18"/>
          <w:szCs w:val="18"/>
        </w:rPr>
        <w:t xml:space="preserve">Table 2. </w:t>
      </w:r>
      <w:r>
        <w:rPr>
          <w:sz w:val="18"/>
          <w:szCs w:val="18"/>
        </w:rPr>
        <w:t xml:space="preserve">Pilot-1 verdict against the four binding requirements, with the decisive headline cells (paired-bootstrap ΔMCIW0 vs standard NMA; exact from pilot_bootstrap.json / pilot_scramble_bootstrap.json).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900"/>
        <w:gridCol w:w="5900"/>
      </w:tblGrid>
      <w:tr>
        <w:trPr>
          <w:tblHeader/>
        </w:trPr>
        <w:tc>
          <w:tcPr>
            <w:tcW w:type="dxa" w:w="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w:t>
            </w:r>
          </w:p>
        </w:tc>
        <w:tc>
          <w:tcPr>
            <w:tcW w:type="dxa" w:w="2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requirement</w:t>
            </w:r>
          </w:p>
        </w:tc>
        <w:tc>
          <w:tcPr>
            <w:tcW w:type="dxa" w:w="5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result</w:t>
            </w:r>
          </w:p>
        </w:tc>
      </w:tr>
      <w:tr>
        <w:tc>
          <w:tcPr>
            <w:tcW w:type="dxa" w:w="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(a)</w:t>
            </w:r>
          </w:p>
        </w:tc>
        <w:tc>
          <w:tcPr>
            <w:tcW w:type="dxa" w:w="2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beat NMA in the sparse regime</w:t>
            </w:r>
          </w:p>
        </w:tc>
        <w:tc>
          <w:tcPr>
            <w:tcW w:type="dxa" w:w="5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PARTIAL — DPP4 robust win (−0.0387 [−0.0904, −0.0138]); SGLT2 &amp; GLP1 favourable but not bootstrap-robust</w:t>
            </w:r>
          </w:p>
        </w:tc>
      </w:tr>
      <w:tr>
        <w:tc>
          <w:tcPr>
            <w:tcW w:type="dxa" w:w="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(b)</w:t>
            </w:r>
          </w:p>
        </w:tc>
        <w:tc>
          <w:tcPr>
            <w:tcW w:type="dxa" w:w="2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no worse in the rich regime</w:t>
            </w:r>
          </w:p>
        </w:tc>
        <w:tc>
          <w:tcPr>
            <w:tcW w:type="dxa" w:w="590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FAIL — GLP1 robustly harmed (+0.2556 [+0.1846, +0.3029], CI entirely &gt; 0)</w:t>
            </w:r>
          </w:p>
        </w:tc>
      </w:tr>
      <w:tr>
        <w:tc>
          <w:tcPr>
            <w:tcW w:type="dxa" w:w="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w:t>
            </w:r>
          </w:p>
        </w:tc>
        <w:tc>
          <w:tcPr>
            <w:tcW w:type="dxa" w:w="2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calibrated coverage in both</w:t>
            </w:r>
          </w:p>
        </w:tc>
        <w:tc>
          <w:tcPr>
            <w:tcW w:type="dxa" w:w="5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PARTIAL — maintained for DPP4/SGLT2; GLP1-sparse under-covers, but so does NMA (shared high-τ problem)</w:t>
            </w:r>
          </w:p>
        </w:tc>
      </w:tr>
      <w:tr>
        <w:tc>
          <w:tcPr>
            <w:tcW w:type="dxa" w:w="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(d)</w:t>
            </w:r>
          </w:p>
        </w:tc>
        <w:tc>
          <w:tcPr>
            <w:tcW w:type="dxa" w:w="2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pass negative controls</w:t>
            </w:r>
          </w:p>
        </w:tc>
        <w:tc>
          <w:tcPr>
            <w:tcW w:type="dxa" w:w="590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FAIL — no-relevance null reproduces win (−0.0731) and harm (+0.2855); scrambling preserves both; borrow vs null |Δ| &lt; 0.04 everywhere</w:t>
            </w:r>
          </w:p>
        </w:tc>
      </w:tr>
    </w:tbl>
    <w:p>
      <w:pPr>
        <w:spacing w:after="120" w:line="276"/>
      </w:pPr>
      <w:r>
        <w:t xml:space="preserve"/>
      </w:r>
    </w:p>
    <w:p>
      <w:pPr>
        <w:spacing w:after="60" w:before="120"/>
        <w:jc w:val="center"/>
      </w:pPr>
      <w:r>
        <w:drawing>
          <wp:inline distT="0" distB="0" distL="0" distR="0">
            <wp:extent cx="6096000" cy="2638425"/>
            <wp:effectExtent t="0" r="0" b="0" l="0"/>
            <wp:docPr id="1" name="fig1_pilot1_inertia.png" descr="Figure 1. Pilot 1 (flat-covariate slice). A: borrowing field vs standard NMA across the six target×regime cells — one robust win (DPP4-sparse), one robust harm (GLP1-rich outlier). B: the gravity-isolation diagnostic — borrow vs the no-relevance null is within |ΔMCIW0| &lt; 0.04 in every cell, so the relevance gravity is near-inert. Source: pilot_bootstrap.json." title="Figure 1. Pilot 1 (flat-covariate slice). A: borrowing field vs standard NMA across the six target×regime cells — one robust win (DPP4-sparse), one robust harm (GLP1-rich outlier). B: the gravity-isolation diagnostic — borrow vs the no-relevance null is within |ΔMCIW0| &lt; 0.04 in every cell, so the relevance gravity is near-inert. Source: pilot_bootstrap.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2638425"/>
                    </a:xfrm>
                    <a:prstGeom prst="rect">
                      <a:avLst/>
                    </a:prstGeom>
                  </pic:spPr>
                </pic:pic>
              </a:graphicData>
            </a:graphic>
          </wp:inline>
        </w:drawing>
      </w:r>
    </w:p>
    <w:p>
      <w:pPr>
        <w:spacing w:after="160"/>
        <w:jc w:val="center"/>
      </w:pPr>
      <w:r>
        <w:rPr>
          <w:i/>
          <w:iCs/>
          <w:sz w:val="17"/>
          <w:szCs w:val="17"/>
        </w:rPr>
        <w:t xml:space="preserve">Figure 1. Pilot 1 (flat-covariate slice). A: borrowing field vs standard NMA across the six target×regime cells — one robust win (DPP4-sparse), one robust harm (GLP1-rich outlier). B: the gravity-isolation diagnostic — borrow vs the no-relevance null is within |ΔMCIW0| &lt; 0.04 in every cell, so the relevance gravity is near-inert. Source: pilot_bootstrap.json.</w:t>
      </w:r>
    </w:p>
    <w:p>
      <w:pPr>
        <w:pStyle w:val="Heading1"/>
      </w:pPr>
      <w:r>
        <w:t xml:space="preserve">4. Pilot 2 — relevance is real when a covariate predicts heterogeneity</w:t>
      </w:r>
    </w:p>
    <w:p>
      <w:pPr>
        <w:pStyle w:val="Heading2"/>
      </w:pPr>
      <w:r>
        <w:t xml:space="preserve">4.1 A fair slice with a genuine modifier</w:t>
      </w:r>
    </w:p>
    <w:p>
      <w:pPr>
        <w:spacing w:after="120" w:line="276"/>
      </w:pPr>
      <w:r>
        <w:t xml:space="preserve">We searched the slice for a covariate that does predict effect heterogeneity (probe_modifier.py) and found GLP1 dose within class: slope −0.0922 %HbA1c/mg [−0.1142, −0.0703], permutation p = 0.01, R² = 0.94, n = 12, with conditional τ² falling from 0.289 to 0.018 once dose is in the model (real_glp1_summary.json). The modifier is confirmed three independent ways (RE meta-regression OLS z = −5.5, WLS z = −19.5; a separate DL meta-regression slope −0.093). The only change to the machinery is the relevance kernel (now on dose distance); the stand-down, fusion, and gate are unchanged.</w:t>
      </w:r>
    </w:p>
    <w:p>
      <w:pPr>
        <w:spacing w:after="120" w:line="276"/>
      </w:pPr>
      <w:r>
        <w:rPr>
          <w:b/>
          <w:bCs/>
          <w:i/>
          <w:iCs/>
        </w:rPr>
        <w:t xml:space="preserve">Honesty note (carried from the pilot). </w:t>
      </w:r>
      <w:r>
        <w:rPr>
          <w:i/>
          <w:iCs/>
        </w:rPr>
        <w:t xml:space="preserve">Raw “mg” partly encodes drug identity/potency across GLP1 molecules (semaglutide ~1 mg → tirzepatide ~14 mg), and the mcg-dosed exenatide/lixisenatide are excluded as a different potency scale. The covariate is a real, strong predictor of effect — which is all relevance-weighting requires — not a clean pharmacological dose axis.</w:t>
      </w:r>
    </w:p>
    <w:p>
      <w:pPr>
        <w:pStyle w:val="Heading2"/>
      </w:pPr>
      <w:r>
        <w:t xml:space="preserve">4.2 Real held-out test — relevance beats both nulls</w:t>
      </w:r>
    </w:p>
    <w:p>
      <w:pPr>
        <w:spacing w:after="120" w:line="276"/>
      </w:pPr>
      <w:r>
        <w:t xml:space="preserve">LOO pure-prior prediction on the real GLP1 dose field, truth = the real held-out effect. Relevance wins at every bandwidth, against both nulls, all CIs &lt; 0 (Table 3) — the exact opposite of pilot 1, where the nulls reproduced everything. A from-scratch re-derivation with no shared code (selfverify2.py) agrees: rel − uniform −0.18 [−0.31, −0.03], rel − scrambled −0.28 [−0.40, −0.15].</w:t>
      </w:r>
    </w:p>
    <w:p>
      <w:pPr>
        <w:spacing w:after="120"/>
      </w:pPr>
      <w:r>
        <w:rPr>
          <w:b/>
          <w:bCs/>
          <w:sz w:val="18"/>
          <w:szCs w:val="18"/>
        </w:rPr>
        <w:t xml:space="preserve">Table 3. </w:t>
      </w:r>
      <w:r>
        <w:rPr>
          <w:sz w:val="18"/>
          <w:szCs w:val="18"/>
        </w:rPr>
        <w:t xml:space="preserve">Pilot-2 real LOO: mean absolute error against real held-out GLP1 effects, by relevance-kernel bandwidth [report table, §3a of PILOT2]. CIs are paired bootstrap; bandwidth 4.54 mg = the a-priori dose-SD setting.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400"/>
        <w:gridCol w:w="1500"/>
        <w:gridCol w:w="2030"/>
        <w:gridCol w:w="2030"/>
      </w:tblGrid>
      <w:tr>
        <w:trPr>
          <w:tblHeader/>
        </w:trPr>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bw (mg)</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relevance MAE</w:t>
            </w:r>
          </w:p>
        </w:tc>
        <w:tc>
          <w:tcPr>
            <w:tcW w:type="dxa" w:w="14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uniform MAE</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scrambled MAE</w:t>
            </w:r>
          </w:p>
        </w:tc>
        <w:tc>
          <w:tcPr>
            <w:tcW w:type="dxa" w:w="203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rel − uniform [95% CI]</w:t>
            </w:r>
          </w:p>
        </w:tc>
        <w:tc>
          <w:tcPr>
            <w:tcW w:type="dxa" w:w="203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rel − scrambled [95% CI]</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2.27</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0.245</w:t>
            </w:r>
          </w:p>
        </w:tc>
        <w:tc>
          <w:tcPr>
            <w:tcW w:type="dxa" w:w="1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0.449</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0.542</w:t>
            </w:r>
          </w:p>
        </w:tc>
        <w:tc>
          <w:tcPr>
            <w:tcW w:type="dxa" w:w="203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−0.204 [−0.382, −0.007]</w:t>
            </w:r>
          </w:p>
        </w:tc>
        <w:tc>
          <w:tcPr>
            <w:tcW w:type="dxa" w:w="203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−0.297 [−0.513, −0.073]</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4.54</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0.269</w:t>
            </w:r>
          </w:p>
        </w:tc>
        <w:tc>
          <w:tcPr>
            <w:tcW w:type="dxa" w:w="1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0.449</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0.490</w:t>
            </w:r>
          </w:p>
        </w:tc>
        <w:tc>
          <w:tcPr>
            <w:tcW w:type="dxa" w:w="203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−0.180 [−0.306, −0.034]</w:t>
            </w:r>
          </w:p>
        </w:tc>
        <w:tc>
          <w:tcPr>
            <w:tcW w:type="dxa" w:w="203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−0.222 [−0.371, −0.056]</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6.81</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0.340</w:t>
            </w:r>
          </w:p>
        </w:tc>
        <w:tc>
          <w:tcPr>
            <w:tcW w:type="dxa" w:w="1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0.449</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0.464</w:t>
            </w:r>
          </w:p>
        </w:tc>
        <w:tc>
          <w:tcPr>
            <w:tcW w:type="dxa" w:w="203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−0.109 [−0.181, −0.028]</w:t>
            </w:r>
          </w:p>
        </w:tc>
        <w:tc>
          <w:tcPr>
            <w:tcW w:type="dxa" w:w="203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−0.124 [−0.206, −0.034]</w:t>
            </w:r>
          </w:p>
        </w:tc>
      </w:tr>
    </w:tbl>
    <w:p>
      <w:pPr>
        <w:spacing w:after="120" w:line="276"/>
      </w:pPr>
      <w:r>
        <w:t xml:space="preserve"/>
      </w:r>
    </w:p>
    <w:p>
      <w:pPr>
        <w:spacing w:after="60" w:before="120"/>
        <w:jc w:val="center"/>
      </w:pPr>
      <w:r>
        <w:drawing>
          <wp:inline distT="0" distB="0" distL="0" distR="0">
            <wp:extent cx="6096000" cy="2352675"/>
            <wp:effectExtent t="0" r="0" b="0" l="0"/>
            <wp:docPr id="1" name="fig2_pilot2_relevance.png" descr="Figure 2. Pilot 2 (GLP1-dose slice). A: the real GLP1 dose-response (n = 12) — a strong, real effect modifier (slope −0.092, perm p = 0.01, R² = 0.94). B: the calibrated-simulation boundary map — relevance vs both nulls (off-centre, sparse) is inert at β = 0 (reproducing pilot 1) and robustly beats both nulls at the real β. Sources: probe_trials.json, real_glp1_summary.json, sim_gate_results.json." title="Figure 2. Pilot 2 (GLP1-dose slice). A: the real GLP1 dose-response (n = 12) — a strong, real effect modifier (slope −0.092, perm p = 0.01, R² = 0.94). B: the calibrated-simulation boundary map — relevance vs both nulls (off-centre, sparse) is inert at β = 0 (reproducing pilot 1) and robustly beats both nulls at the real β. Sources: probe_trials.json, real_glp1_summary.json, sim_gate_results.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352675"/>
                    </a:xfrm>
                    <a:prstGeom prst="rect">
                      <a:avLst/>
                    </a:prstGeom>
                  </pic:spPr>
                </pic:pic>
              </a:graphicData>
            </a:graphic>
          </wp:inline>
        </w:drawing>
      </w:r>
    </w:p>
    <w:p>
      <w:pPr>
        <w:spacing w:after="160"/>
        <w:jc w:val="center"/>
      </w:pPr>
      <w:r>
        <w:rPr>
          <w:i/>
          <w:iCs/>
          <w:sz w:val="17"/>
          <w:szCs w:val="17"/>
        </w:rPr>
        <w:t xml:space="preserve">Figure 2. Pilot 2 (GLP1-dose slice). A: the real GLP1 dose-response (n = 12) — a strong, real effect modifier (slope −0.092, perm p = 0.01, R² = 0.94). B: the calibrated-simulation boundary map — relevance vs both nulls (off-centre, sparse) is inert at β = 0 (reproducing pilot 1) and robustly beats both nulls at the real β. Sources: probe_trials.json, real_glp1_summary.json, sim_gate_results.json.</w:t>
      </w:r>
    </w:p>
    <w:p>
      <w:pPr>
        <w:pStyle w:val="Heading2"/>
      </w:pPr>
      <w:r>
        <w:t xml:space="preserve">4.3 The boundary map — inert at β = 0, wins at the real β</w:t>
      </w:r>
    </w:p>
    <w:p>
      <w:pPr>
        <w:spacing w:after="120" w:line="276"/>
      </w:pPr>
      <w:r>
        <w:t xml:space="preserve">A calibrated simulation (DGP fitted to the measured dose-response: α = −0.76, β = −0.092, residual τ = 0.14, real dose &amp; SE distributions) supplies known truth and lets us sweep the modifier slope (sim_gate_results.json). At β = 0 relevance is n.s. versus both nulls in all six cells — reproducing pilot 1 exactly. At the real β, for off-centre sparse targets, relevance robustly beats both nulls: low/sparse rel − uniform −0.049 W and rel − scrambled −0.050 W; high/sparse −0.025 W and −0.048 W. At center (target = field mean) the covariate correctly adds nothing — shrink-to-mean is already unbiased there; the win is specifically the off-centre value of the gravity. In the rich regime everything ties (own data suffices), which is why no cell harms. The win is caused by the covariate signal, not the machinery.</w:t>
      </w:r>
    </w:p>
    <w:p>
      <w:pPr>
        <w:pStyle w:val="Heading2"/>
      </w:pPr>
      <w:r>
        <w:t xml:space="preserve">4.4 The rich-regime harm — diagnosed and fixed</w:t>
      </w:r>
    </w:p>
    <w:p>
      <w:pPr>
        <w:spacing w:after="120" w:line="276"/>
      </w:pPr>
      <w:r>
        <w:t xml:space="preserve">The pilot-1 harm was not an under-corrected stand-down; it was the 2-member AdaptShrink fusion (§2.2). Isolating each change on a confident-wrong-prior control (target the outlier −1.17, prior the field consensus −0.55, reproducing Q ≈ 4) shows the hard conflict gate alone does not fix the harm (AdaptShrink rich stays +0.162), because the conflict sits at only ≈ 2σ where a wrong prior is hard to distinguish from chance. Conflict-discounted precision fusion eliminates it by letting precise own-data dominate (Table 4). A small, irreducible sparse residual remains (+0.032): with k = 2 you cannot know the prior is wrong — the intrinsic bias–variance cost of borrowing, an order of magnitude below pilot 1's harm.</w:t>
      </w:r>
    </w:p>
    <w:p>
      <w:pPr>
        <w:spacing w:after="120"/>
      </w:pPr>
      <w:r>
        <w:rPr>
          <w:b/>
          <w:bCs/>
          <w:sz w:val="18"/>
          <w:szCs w:val="18"/>
        </w:rPr>
        <w:t xml:space="preserve">Table 4. </w:t>
      </w:r>
      <w:r>
        <w:rPr>
          <w:sz w:val="18"/>
          <w:szCs w:val="18"/>
        </w:rPr>
        <w:t xml:space="preserve">Pilot-2 own⊕prior fusion on a confident-wrong-prior control: ΔMCIW0 vs own (no-borrow), by fusion rule [report table, §3d of PILOT2].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900"/>
        <w:gridCol w:w="2360"/>
        <w:gridCol w:w="2000"/>
      </w:tblGrid>
      <w:tr>
        <w:trPr>
          <w:tblHeader/>
        </w:trPr>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regime</w:t>
            </w:r>
          </w:p>
        </w:tc>
        <w:tc>
          <w:tcPr>
            <w:tcW w:type="dxa" w:w="3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fusion rule</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mean δ</w:t>
            </w:r>
          </w:p>
        </w:tc>
        <w:tc>
          <w:tcPr>
            <w:tcW w:type="dxa" w:w="2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ΔMCIW0 vs own [95% CI]</w:t>
            </w:r>
          </w:p>
        </w:tc>
        <w:tc>
          <w:tcPr>
            <w:tcW w:type="dxa" w:w="20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verdict</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rich</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AdaptShrink + smooth stand-down (pilot 1)</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0.24</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+0.175 [+0.165, +0.182]</w:t>
            </w:r>
          </w:p>
        </w:tc>
        <w:tc>
          <w:tcPr>
            <w:tcW w:type="dxa" w:w="200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HARM</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rich</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AdaptShrink + hardened gate</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0.19</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+0.162 [+0.154, +0.172]</w:t>
            </w:r>
          </w:p>
        </w:tc>
        <w:tc>
          <w:tcPr>
            <w:tcW w:type="dxa" w:w="200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HARM (gate barely helps)</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rich</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precision + smooth</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0.24</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+0.002 [−0.001, +0.004]</w:t>
            </w:r>
          </w:p>
        </w:tc>
        <w:tc>
          <w:tcPr>
            <w:tcW w:type="dxa" w:w="20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n.s. — fixed</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rich</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precision + hardened (pilot 2)</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0.19</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+0.000 [−0.001, +0.003]</w:t>
            </w:r>
          </w:p>
        </w:tc>
        <w:tc>
          <w:tcPr>
            <w:tcW w:type="dxa" w:w="20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n.s. — fixed</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sparse</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precision + hardened</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0.23</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+0.032 [+0.014, +0.044]</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tiny (~20× &lt; pilot 1)</w:t>
            </w:r>
          </w:p>
        </w:tc>
      </w:tr>
    </w:tbl>
    <w:p>
      <w:pPr>
        <w:spacing w:after="120" w:line="276"/>
      </w:pPr>
      <w:r>
        <w:t xml:space="preserve"/>
      </w:r>
    </w:p>
    <w:p>
      <w:pPr>
        <w:spacing w:after="120" w:line="276"/>
      </w:pPr>
      <w:r>
        <w:rPr>
          <w:b/>
          <w:bCs/>
        </w:rPr>
        <w:t xml:space="preserve">Verdict. </w:t>
      </w:r>
      <w:r>
        <w:t xml:space="preserve">All four binding requirements now pass: beat NMA in sparse (off-centre cells), beat both nulls (real LOO + sim; inert at β = 0 as required), no worse in rich (no harm cell remains anywhere), calibrated coverage / negative controls. Relevance-weighted borrowing is real, exactly to the degree a real, measured covariate predicts the effect.</w:t>
      </w:r>
    </w:p>
    <w:p>
      <w:pPr>
        <w:pStyle w:val="Heading2"/>
      </w:pPr>
      <w:r>
        <w:t xml:space="preserve">4.6 Replication across slices — reproducible phenomenon, bounded at N = 2</w:t>
      </w:r>
    </w:p>
    <w:p>
      <w:pPr>
        <w:spacing w:after="120" w:line="276"/>
      </w:pPr>
      <w:r>
        <w:t xml:space="preserve">To test whether the §4 win is a one-slice artefact, we re-ran the identical five-way LOO gate on 11 condition/outcome/drug-class domains of AACT, admitting a slice only if a within-class continuous modifier passed a pre-registered gate (n ≥ 8, permutation p &lt; 0.05, ≥ 4 unique values, Simpson guard: single-molecule, or within-molecule sign-preserving). Two slices qualified and relevance beat both nulls on both (2/2): the GLP1 dose → HbA1c anchor (reproduced) and a new slice — baseline body-weight → weight loss within GLP1 — replicating on a different outcome (body weight, kg) and a different modifier type (baseline severity, not dose) (Table 5). Relevance was correctly inert on 3/3 real flat slices (e.g. dapagliflozin dose → HbA1c, where SGLT2 dose plateaus: rel − uniform +0.005) — the in-data analogue of the §4.3 β = 0 control — and failed honestly where the modifier was out-of-sample-unreliable: vortioxetine dose → MADRS has R² = 1.00 in-sample but permutation p = 0.61 and loses the LOO (rel − scrambled +0.359), so the permutation gate prevented a false positive.</w:t>
      </w:r>
    </w:p>
    <w:p>
      <w:pPr>
        <w:spacing w:after="120"/>
      </w:pPr>
      <w:r>
        <w:rPr>
          <w:b/>
          <w:bCs/>
          <w:sz w:val="18"/>
          <w:szCs w:val="18"/>
        </w:rPr>
        <w:t xml:space="preserve">Table 5. </w:t>
      </w:r>
      <w:r>
        <w:rPr>
          <w:sz w:val="18"/>
          <w:szCs w:val="18"/>
        </w:rPr>
        <w:t xml:space="preserve">Replication five-way real LOO at the central bandwidth (SD): paired-bootstrap ΔMAE against the two nulls, exact from replication/loo_results_v2.json (REPORT_BORROWING_REPLICATION.md). Both clean slices are GLP1-class.</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3100"/>
        <w:gridCol w:w="900"/>
        <w:gridCol w:w="500"/>
        <w:gridCol w:w="2100"/>
        <w:gridCol w:w="2100"/>
        <w:gridCol w:w="1660"/>
      </w:tblGrid>
      <w:tr>
        <w:trPr>
          <w:tblHeader/>
        </w:trPr>
        <w:tc>
          <w:tcPr>
            <w:tcW w:type="dxa" w:w="31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slice (modifier)</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tier</w:t>
            </w:r>
          </w:p>
        </w:tc>
        <w:tc>
          <w:tcPr>
            <w:tcW w:type="dxa" w:w="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n</w:t>
            </w:r>
          </w:p>
        </w:tc>
        <w:tc>
          <w:tcPr>
            <w:tcW w:type="dxa" w:w="21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rel − uniform [95% CI]</w:t>
            </w:r>
          </w:p>
        </w:tc>
        <w:tc>
          <w:tcPr>
            <w:tcW w:type="dxa" w:w="21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rel − scrambled [95% CI]</w:t>
            </w:r>
          </w:p>
        </w:tc>
        <w:tc>
          <w:tcPr>
            <w:tcW w:type="dxa" w:w="16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beats both?</w:t>
            </w:r>
          </w:p>
        </w:tc>
      </w:tr>
      <w:tr>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GLP1 dose → HbA1c (anchor)</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clean</w:t>
            </w:r>
          </w:p>
        </w:tc>
        <w:tc>
          <w:tcPr>
            <w:tcW w:type="dxa" w:w="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12</w:t>
            </w:r>
          </w:p>
        </w:tc>
        <w:tc>
          <w:tcPr>
            <w:tcW w:type="dxa" w:w="21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−0.180 [−0.305, −0.037]</w:t>
            </w:r>
          </w:p>
        </w:tc>
        <w:tc>
          <w:tcPr>
            <w:tcW w:type="dxa" w:w="21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−0.199 [−0.334, −0.045]</w:t>
            </w:r>
          </w:p>
        </w:tc>
        <w:tc>
          <w:tcPr>
            <w:tcW w:type="dxa" w:w="16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YES</w:t>
            </w:r>
          </w:p>
        </w:tc>
      </w:tr>
      <w:tr>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GLP1 baseline-weight → weight (new)</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clean</w:t>
            </w:r>
          </w:p>
        </w:tc>
        <w:tc>
          <w:tcPr>
            <w:tcW w:type="dxa" w:w="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9</w:t>
            </w:r>
          </w:p>
        </w:tc>
        <w:tc>
          <w:tcPr>
            <w:tcW w:type="dxa" w:w="21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−0.497 [−1.055, −0.099]</w:t>
            </w:r>
          </w:p>
        </w:tc>
        <w:tc>
          <w:tcPr>
            <w:tcW w:type="dxa" w:w="21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−0.599 [−1.250, −0.028]</w:t>
            </w:r>
          </w:p>
        </w:tc>
        <w:tc>
          <w:tcPr>
            <w:tcW w:type="dxa" w:w="16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YES</w:t>
            </w:r>
          </w:p>
        </w:tc>
      </w:tr>
      <w:tr>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dapagliflozin dose → HbA1c</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flat</w:t>
            </w:r>
          </w:p>
        </w:tc>
        <w:tc>
          <w:tcPr>
            <w:tcW w:type="dxa" w:w="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15</w:t>
            </w:r>
          </w:p>
        </w:tc>
        <w:tc>
          <w:tcPr>
            <w:tcW w:type="dxa" w:w="2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+0.005 [+0.003, +0.008]</w:t>
            </w:r>
          </w:p>
        </w:tc>
        <w:tc>
          <w:tcPr>
            <w:tcW w:type="dxa" w:w="2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+0.002 [−0.005, +0.010]</w:t>
            </w:r>
          </w:p>
        </w:tc>
        <w:tc>
          <w:tcPr>
            <w:tcW w:type="dxa" w:w="1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no (inert, correct)</w:t>
            </w:r>
          </w:p>
        </w:tc>
      </w:tr>
      <w:tr>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vortioxetine dose → MADRS</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flat*</w:t>
            </w:r>
          </w:p>
        </w:tc>
        <w:tc>
          <w:tcPr>
            <w:tcW w:type="dxa" w:w="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17</w:t>
            </w:r>
          </w:p>
        </w:tc>
        <w:tc>
          <w:tcPr>
            <w:tcW w:type="dxa" w:w="2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−0.051 [−0.248, +0.059]</w:t>
            </w:r>
          </w:p>
        </w:tc>
        <w:tc>
          <w:tcPr>
            <w:tcW w:type="dxa" w:w="2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+0.359 [+0.056, +0.736]</w:t>
            </w:r>
          </w:p>
        </w:tc>
        <w:tc>
          <w:tcPr>
            <w:tcW w:type="dxa" w:w="1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no (perm-flat, LOO-fail)</w:t>
            </w:r>
          </w:p>
        </w:tc>
      </w:tr>
    </w:tbl>
    <w:p>
      <w:pPr>
        <w:spacing w:after="60" w:line="276"/>
      </w:pPr>
      <w:r>
        <w:t xml:space="preserve"/>
      </w:r>
    </w:p>
    <w:p>
      <w:pPr>
        <w:spacing w:after="120" w:line="276"/>
      </w:pPr>
      <w:r>
        <w:t xml:space="preserve">The scale-free pooled fractional MAE reduction across the two clean slices is −25.8% [−51.2%, −0.4%] versus the scrambled null (robust) and −23.3% [−48.5%, +1.9%] versus the no-relevance null (suggestive; CI marginally crosses 0 at N = 2). The win is no longer single-slice — it reproduces on an independent modifier — but is bounded by only two clean GLP1-class slices. The rate-limiting step for a fully robust, multi-class contribution is a non-GLP1 slice with a clean, permutation-robust within-class modifier; the depression and schizophrenia within-molecule dose signals (real at p &lt; .001 but pooled-masked by Simpson, and lacking ≥ 8 single-molecule placebo-anchored trials) are the leading candidates, likely reachable only via IPD.</w:t>
      </w:r>
    </w:p>
    <w:p>
      <w:pPr>
        <w:pStyle w:val="Heading2"/>
      </w:pPr>
      <w:r>
        <w:t xml:space="preserve">4.7 Cross-specialty replication — N = 5 clean slices across 3 specialties</w:t>
      </w:r>
    </w:p>
    <w:p>
      <w:pPr>
        <w:spacing w:after="120" w:line="276"/>
      </w:pPr>
      <w:r>
        <w:t xml:space="preserve">To break the §4.6 same-class (GLP1) bound, we ran the identical five-way LOO on four new public meta-analytic datasets, each a different specialty with a real within-set continuous modifier (cited as original publications): SAT-coaching hours (Kalaian &amp; Raudenbush 1996, Psychol Methods; k = 65), teacher-expectancy contact weeks (Raudenbush 1984, J Educ Psychol; k = 19), brief-alcohol-intervention age (Tanner-Smith &amp; Lipsey 2015, J Subst Abuse Treat; k = 113), and phase-I dose-toxicity (Ursino et al. 2021; k = 49). Each modifier was verified in-data (WLS slope + 10k-permutation; metafor REML external cross-check on the two escalc-ready slices). Oncology dose-toxicity is a clean new-specialty win: relevance beats both nulls at all bandwidths (rel − uniform −0.119 [−0.174, −0.061]; rel − scrambled −0.141 [−0.206, −0.079]). Teacher-expectancy (a documented real modifier) is directional but k = 19-underpowered (rel − uniform −0.020, n.s.). SAT-coaching is nominally clean (perm p = 0.045) but trivially weak (R² = 0.08) in a near-homogeneous field, so relevance correctly ties the nulls. The flat-modifier slice (alcohol-by-age, perm p = 0.49) is correctly inert (+2.7%) — the in-data β = 0 control.</w:t>
      </w:r>
    </w:p>
    <w:p>
      <w:pPr>
        <w:spacing w:after="120"/>
      </w:pPr>
      <w:r>
        <w:rPr>
          <w:b/>
          <w:bCs/>
          <w:sz w:val="18"/>
          <w:szCs w:val="18"/>
        </w:rPr>
        <w:t xml:space="preserve">Table 6. </w:t>
      </w:r>
      <w:r>
        <w:rPr>
          <w:sz w:val="18"/>
          <w:szCs w:val="18"/>
        </w:rPr>
        <w:t xml:space="preserve">Cross-specialty pooled fractional MAE reduction (DL random-effects) across the 5 clean qualifiers in 3 specialties (Endocrine/Metabolic ×2, Education ×2, Oncology ×1) [report table, §3 of MULTISPECIALTY; per-slice values exact from replication/multispecialty_loo.json].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3200"/>
        <w:gridCol w:w="1960"/>
      </w:tblGrid>
      <w:tr>
        <w:trPr>
          <w:tblHeader/>
        </w:trPr>
        <w:tc>
          <w:tcPr>
            <w:tcW w:type="dxa" w:w="4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comparison</w:t>
            </w:r>
          </w:p>
        </w:tc>
        <w:tc>
          <w:tcPr>
            <w:tcW w:type="dxa" w:w="3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pooled fractional MAE reduction</w:t>
            </w:r>
          </w:p>
        </w:tc>
        <w:tc>
          <w:tcPr>
            <w:tcW w:type="dxa" w:w="19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verdict</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relevance − uniform (no-relevance null)</w:t>
            </w:r>
          </w:p>
        </w:tc>
        <w:tc>
          <w:tcPr>
            <w:tcW w:type="dxa" w:w="32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−10.9% [−20.2%, −1.5%]  (τ² = 0.008)</w:t>
            </w:r>
          </w:p>
        </w:tc>
        <w:tc>
          <w:tcPr>
            <w:tcW w:type="dxa" w:w="19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CI &lt; 0 robust</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relevance − scrambled null</w:t>
            </w:r>
          </w:p>
        </w:tc>
        <w:tc>
          <w:tcPr>
            <w:tcW w:type="dxa" w:w="32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−12.4% [−22.8%, −2.0%]  (τ² = 0.009)</w:t>
            </w:r>
          </w:p>
        </w:tc>
        <w:tc>
          <w:tcPr>
            <w:tcW w:type="dxa" w:w="19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CI &lt; 0 robust</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strong-modifier subset (R² ≥ 0.15, N = 4) vs uniform</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−13.8% [−20.6%, −7.0%]</w:t>
            </w:r>
          </w:p>
        </w:tc>
        <w:tc>
          <w:tcPr>
            <w:tcW w:type="dxa" w:w="19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CI &lt; 0 robust</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strong-modifier subset (R² ≥ 0.15, N = 4) vs scrambled</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−15.9% [−24.5%, −7.3%]</w:t>
            </w:r>
          </w:p>
        </w:tc>
        <w:tc>
          <w:tcPr>
            <w:tcW w:type="dxa" w:w="19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CI &lt; 0 robust</w:t>
            </w:r>
          </w:p>
        </w:tc>
      </w:tr>
    </w:tbl>
    <w:p>
      <w:pPr>
        <w:spacing w:after="60" w:line="276"/>
      </w:pPr>
      <w:r>
        <w:t xml:space="preserve"/>
      </w:r>
    </w:p>
    <w:p>
      <w:pPr>
        <w:spacing w:after="120" w:line="276"/>
      </w:pPr>
      <w:r>
        <w:t xml:space="preserve">The §4.6 suggestive N = 2 estimate (CI crossed 0) is now a robustly significant cross-specialty result. Relevance beats both nulls in 3/5 clean slices, and the per-slice benefit scales with modifier strength (R² 0.08 → ≈ 0%; 0.38 → −14.5%; GLP1 dose → −40%), exactly as a relevance mechanism should. Caveats: two of the five clean slices share the GLP1 class (three genuinely independent specialties), and two slices are effect-level rather than study-independent.</w:t>
      </w:r>
    </w:p>
    <w:p>
      <w:pPr>
        <w:pStyle w:val="Heading1"/>
      </w:pPr>
      <w:r>
        <w:t xml:space="preserve">5. The transportability boundary — a registry null (pilots 3–4) and a fair test (BCG)</w:t>
      </w:r>
    </w:p>
    <w:p>
      <w:pPr>
        <w:spacing w:after="120" w:line="276"/>
      </w:pPr>
      <w:r>
        <w:t xml:space="preserve">The genuinely novel extension is transportability: standardise borrowed evidence to a defined target population and down-weight trials whose population does not transport. The borrowing weight becomes relevance(class, baseline) × transportability(obesity kernel + standardisation) × precision.</w:t>
      </w:r>
    </w:p>
    <w:p>
      <w:pPr>
        <w:pStyle w:val="Heading2"/>
      </w:pPr>
      <w:r>
        <w:t xml:space="preserve">5.1 Is the population signal real? (checked first)</w:t>
      </w:r>
    </w:p>
    <w:p>
      <w:pPr>
        <w:spacing w:after="120" w:line="276"/>
      </w:pPr>
      <w:r>
        <w:t xml:space="preserve">Before any borrowing machinery (probe_transport.py, n = 38): the marginal slope of effect on population obesity is −0.034 /SD (perm p = 0.65); adding drug-class fixed effects collapses it to −0.002 /SD (p = 0.97), and the residual correlation after class is −0.023 ≈ 0 (probe_transport_summary.json). The within-class obesity slope is directionally consistent across all three classes (positive: higher-obesity populations get smaller HbA1c reductions — the expected East-Asian-responsiveness direction), but the marginal sign reverses only by class confounding — a Simpson reversal (high-efficacy GLP1 is tested more in high-obesity US). The magnitude is tiny and not robust after class (pooled within-class β ≈ 0.0061 %HbA1c per obesity-%; only DPP4 hints at a real slope and has n = 6) [within-class breakdown: report table, §2 of PILOT3]. The population covariate does not add over relevance on this slice.</w:t>
      </w:r>
    </w:p>
    <w:p>
      <w:pPr>
        <w:pStyle w:val="Heading2"/>
      </w:pPr>
      <w:r>
        <w:t xml:space="preserve">5.2 Real LOO — transport does not beat relevance-only</w:t>
      </w:r>
    </w:p>
    <w:p>
      <w:pPr>
        <w:spacing w:after="120" w:line="276"/>
      </w:pPr>
      <w:r>
        <w:t xml:space="preserve">Held-out single-country trial = target population (zero own data → pure transportability prediction); truth = real held-out effect; paired bootstrap over 12 folds (pilot3_loo_summary.json; Table 7). Coverage of the real held-out effect was 0.92 for all methods (apples-to-apples). A from-scratch re-derivation with a different kernel and CI method (selfverify3.py, Epanechnikov + jackknife) agrees: relevance − NMA −0.062 [−0.121, −0.002] win; transport − relevance +0.005 [−0.019, +0.030] n.s. — same sign, same decision.</w:t>
      </w:r>
    </w:p>
    <w:p>
      <w:pPr>
        <w:spacing w:after="120"/>
      </w:pPr>
      <w:r>
        <w:rPr>
          <w:b/>
          <w:bCs/>
          <w:sz w:val="18"/>
          <w:szCs w:val="18"/>
        </w:rPr>
        <w:t xml:space="preserve">Table 7. </w:t>
      </w:r>
      <w:r>
        <w:rPr>
          <w:sz w:val="18"/>
          <w:szCs w:val="18"/>
        </w:rPr>
        <w:t xml:space="preserve">Pilot-3 real LOO on single-country targets: paired-bootstrap ΔMAE (Δ &lt; 0 = first method better; exact from pilot3_loo_summary.json). The two negative controls behave exactly as a correct transport layer must.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660"/>
        <w:gridCol w:w="400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contrast</w:t>
            </w:r>
          </w:p>
        </w:tc>
        <w:tc>
          <w:tcPr>
            <w:tcW w:type="dxa" w:w="26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ΔMAE [95% CI]</w:t>
            </w:r>
          </w:p>
        </w:tc>
        <w:tc>
          <w:tcPr>
            <w:tcW w:type="dxa" w:w="40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verdict</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relevance − NMA</w:t>
            </w:r>
          </w:p>
        </w:tc>
        <w:tc>
          <w:tcPr>
            <w:tcW w:type="dxa" w:w="2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−0.0616 [−0.1186, −0.0071]</w:t>
            </w:r>
          </w:p>
        </w:tc>
        <w:tc>
          <w:tcPr>
            <w:tcW w:type="dxa" w:w="40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relevance WINS (pilot 2 reproduced)</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transport − relevance</w:t>
            </w:r>
          </w:p>
        </w:tc>
        <w:tc>
          <w:tcPr>
            <w:tcW w:type="dxa" w:w="2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+0.0218 [−0.0374, +0.0817]</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n.s. — transport does not beat relevance</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transport − NMA</w:t>
            </w:r>
          </w:p>
        </w:tc>
        <w:tc>
          <w:tcPr>
            <w:tcW w:type="dxa" w:w="2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−0.0398 [−0.1249, +0.0367]</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n.s.</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transport − scrambled</w:t>
            </w:r>
          </w:p>
        </w:tc>
        <w:tc>
          <w:tcPr>
            <w:tcW w:type="dxa" w:w="2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−0.0011 [−0.0798, +0.0684]</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n.s.</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control: target = donor pool</w:t>
            </w:r>
          </w:p>
        </w:tc>
        <w:tc>
          <w:tcPr>
            <w:tcW w:type="dxa" w:w="2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+0.0042 [−0.0045, +0.0117]</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inert (collapses to relevance-only)</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control: β_ob = 0</w:t>
            </w:r>
          </w:p>
        </w:tc>
        <w:tc>
          <w:tcPr>
            <w:tcW w:type="dxa" w:w="2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+0.0005 [−0.0209, +0.0222]</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inert (no signal, no effect)</w:t>
            </w:r>
          </w:p>
        </w:tc>
      </w:tr>
    </w:tbl>
    <w:p>
      <w:pPr>
        <w:spacing w:after="120" w:line="276"/>
      </w:pPr>
      <w:r>
        <w:t xml:space="preserve"/>
      </w:r>
    </w:p>
    <w:p>
      <w:pPr>
        <w:pStyle w:val="Heading2"/>
      </w:pPr>
      <w:r>
        <w:t xml:space="preserve">5.3 The machinery is correct — known-truth β-sweep</w:t>
      </w:r>
    </w:p>
    <w:p>
      <w:pPr>
        <w:spacing w:after="120" w:line="276"/>
      </w:pPr>
      <w:r>
        <w:t xml:space="preserve">Keeping the real trial structure (real classes, real obesity, real SEs of all 38 trials) but regenerating effects under a known DGP y = a_class + β·(ob − ob_ref) + ε, LOO-predicting the same 12 targets, scoring to known truth, and sweeping β (sim_transport_results.json; Table 8). Transport MAE stays flat at 0.228 across the entire sweep (it standardises the population shift away) while NMA and relevance-only blow up. The crossover is at β ≈ 0.01–0.02, about 2–3× the real value. The transport layer is therefore inert when it should be (β = 0, target = pool), reproduces the real-data null at the real β, beats relevance-only and the nulls monotonically once the population modifier is strong, and never harms beyond a tiny (+0.006) inert-regime kernel cost (Figure 3).</w:t>
      </w:r>
    </w:p>
    <w:p>
      <w:pPr>
        <w:spacing w:after="120"/>
      </w:pPr>
      <w:r>
        <w:rPr>
          <w:b/>
          <w:bCs/>
          <w:sz w:val="18"/>
          <w:szCs w:val="18"/>
        </w:rPr>
        <w:t xml:space="preserve">Table 8. </w:t>
      </w:r>
      <w:r>
        <w:rPr>
          <w:sz w:val="18"/>
          <w:szCs w:val="18"/>
        </w:rPr>
        <w:t xml:space="preserve">Pilot-3 known-truth β-sweep on the real trial structure: MAE to known truth and transport − relevance contrast (exact from sim_transport_results.json).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1500"/>
        <w:gridCol w:w="1500"/>
        <w:gridCol w:w="2160"/>
        <w:gridCol w:w="1800"/>
      </w:tblGrid>
      <w:tr>
        <w:trPr>
          <w:tblHeader/>
        </w:trPr>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true β</w:t>
            </w:r>
          </w:p>
        </w:tc>
        <w:tc>
          <w:tcPr>
            <w:tcW w:type="dxa" w:w="11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MAE NMA</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MAE relevance</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MAE transport</w:t>
            </w:r>
          </w:p>
        </w:tc>
        <w:tc>
          <w:tcPr>
            <w:tcW w:type="dxa" w:w="21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transport − relevance [95% CI]</w:t>
            </w:r>
          </w:p>
        </w:tc>
        <w:tc>
          <w:tcPr>
            <w:tcW w:type="dxa" w:w="18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verdict</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0.000</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0.278</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0.222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0.228</w:t>
            </w:r>
          </w:p>
        </w:tc>
        <w:tc>
          <w:tcPr>
            <w:tcW w:type="dxa" w:w="2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+0.006 [+0.004, +0.008]</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inert (tiny kernel cost)</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7"/>
                <w:szCs w:val="17"/>
              </w:rPr>
              <w:t xml:space="preserve">0.006 (real)</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0.266</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0.228</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0.228</w:t>
            </w:r>
          </w:p>
        </w:tc>
        <w:tc>
          <w:tcPr>
            <w:tcW w:type="dxa" w:w="2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+0.000 [−0.003, +0.003]</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n.s. — reproduces real null</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0.020</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0.360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0.339</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0.228</w:t>
            </w:r>
          </w:p>
        </w:tc>
        <w:tc>
          <w:tcPr>
            <w:tcW w:type="dxa" w:w="21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−0.111 [−0.118, −0.104]</w:t>
            </w:r>
          </w:p>
        </w:tc>
        <w:tc>
          <w:tcPr>
            <w:tcW w:type="dxa" w:w="18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TRANSPORT WINS</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0.050</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0.754</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0.777</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0.228</w:t>
            </w:r>
          </w:p>
        </w:tc>
        <w:tc>
          <w:tcPr>
            <w:tcW w:type="dxa" w:w="21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−0.549 [−0.559, −0.538]</w:t>
            </w:r>
          </w:p>
        </w:tc>
        <w:tc>
          <w:tcPr>
            <w:tcW w:type="dxa" w:w="18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TRANSPORT WINS</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0.100</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1.556</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1.580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0.228</w:t>
            </w:r>
          </w:p>
        </w:tc>
        <w:tc>
          <w:tcPr>
            <w:tcW w:type="dxa" w:w="21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−1.352 [−1.364, −1.340]</w:t>
            </w:r>
          </w:p>
        </w:tc>
        <w:tc>
          <w:tcPr>
            <w:tcW w:type="dxa" w:w="18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TRANSPORT WINS</w:t>
            </w:r>
          </w:p>
        </w:tc>
      </w:tr>
    </w:tbl>
    <w:p>
      <w:pPr>
        <w:spacing w:after="120" w:line="276"/>
      </w:pPr>
      <w:r>
        <w:t xml:space="preserve"/>
      </w:r>
    </w:p>
    <w:p>
      <w:pPr>
        <w:spacing w:after="60" w:before="120"/>
        <w:jc w:val="center"/>
      </w:pPr>
      <w:r>
        <w:drawing>
          <wp:inline distT="0" distB="0" distL="0" distR="0">
            <wp:extent cx="6096000" cy="2486025"/>
            <wp:effectExtent t="0" r="0" b="0" l="0"/>
            <wp:docPr id="1" name="fig3_pilot3_transport.png" descr="Figure 3. Pilot 3 (population/obesity transport). A: real LOO contrasts — relevance beats NMA, but transport does not add over relevance-only. B: the known-truth β-sweep — transport MAE stays flat while NMA and relevance-only blow up; the real β = 0.006 sits in the inert corner, with the crossover at β ≈ 0.01–0.02. Sources: pilot3_loo_summary.json, sim_transport_results.json." title="Figure 3. Pilot 3 (population/obesity transport). A: real LOO contrasts — relevance beats NMA, but transport does not add over relevance-only. B: the known-truth β-sweep — transport MAE stays flat while NMA and relevance-only blow up; the real β = 0.006 sits in the inert corner, with the crossover at β ≈ 0.01–0.02. Sources: pilot3_loo_summary.json, sim_transport_results.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486025"/>
                    </a:xfrm>
                    <a:prstGeom prst="rect">
                      <a:avLst/>
                    </a:prstGeom>
                  </pic:spPr>
                </pic:pic>
              </a:graphicData>
            </a:graphic>
          </wp:inline>
        </w:drawing>
      </w:r>
    </w:p>
    <w:p>
      <w:pPr>
        <w:spacing w:after="160"/>
        <w:jc w:val="center"/>
      </w:pPr>
      <w:r>
        <w:rPr>
          <w:i/>
          <w:iCs/>
          <w:sz w:val="17"/>
          <w:szCs w:val="17"/>
        </w:rPr>
        <w:t xml:space="preserve">Figure 3. Pilot 3 (population/obesity transport). A: real LOO contrasts — relevance beats NMA, but transport does not add over relevance-only. B: the known-truth β-sweep — transport MAE stays flat while NMA and relevance-only blow up; the real β = 0.006 sits in the inert corner, with the crossover at β ≈ 0.01–0.02. Sources: pilot3_loo_summary.json, sim_transport_results.json.</w:t>
      </w:r>
    </w:p>
    <w:p>
      <w:pPr>
        <w:pStyle w:val="Heading2"/>
      </w:pPr>
      <w:r>
        <w:t xml:space="preserve">5.4 Verdict on the registry transport test (pilot 3)</w:t>
      </w:r>
    </w:p>
    <w:p>
      <w:pPr>
        <w:spacing w:after="120" w:line="276"/>
      </w:pPr>
      <w:r>
        <w:t xml:space="preserve">Transportability does not improve over relevance-only on this real T2DM HbA1c slice, because the population obesity covariate is not a strong enough effect modifier here (β ≈ 0.006, n.s. after class). This is a property of the data, not the method: with known truth the layer is correct and powerful. The honest threshold is quantified — transportability earns its keep only when a population covariate modifies the effect at β ≳ 0.02 (≈ 3× what obesity delivers here).</w:t>
      </w:r>
    </w:p>
    <w:p>
      <w:pPr>
        <w:pStyle w:val="Heading2"/>
      </w:pPr>
      <w:r>
        <w:t xml:space="preserve">5.5 Why no registry slice qualifies — the structural finding (pilot 4)</w:t>
      </w:r>
    </w:p>
    <w:p>
      <w:pPr>
        <w:spacing w:after="120" w:line="276"/>
      </w:pPr>
      <w:r>
        <w:t xml:space="preserve">A multi-domain search (pilot 4, REPORT_BORROWING_PILOT4.md) shows the pilot-3 null is structural, not a near-miss. A transportability test needs three things in one slice: a population gradient the trials actually sample, a clean placebo-anchored exchangeable effect, and adequate n. The registry systematically separates them. Across 13 major areas, every placebo-anchored continuous-outcome domain is gradient-compressed by trial-site selection (IHME-SDI coefficient of variation ≤ 0.09 for diabetes, hypertension, depression, asthma, COPD, heart failure, obesity, schizophrenia, RA, COVID) — even in depression, where the income/region modifier is famous, the covariate barely varies (within-slice SDI CV = 0.04) and the modifier is null (perm p ≈ 0.6). The wide gradient lives only in infectious-disease domains — malaria (SDI CV = 0.37), TB (0.21), enteric (0.18), HIV (0.17) — where outcomes are binary and effects are drug-vs-drug or single-arm, so there is no exchangeable placebo anchor to borrow. On the best-available placebo-anchored slice (MADRS antidepressant-vs-placebo, n = 36, candidate modifier = under-5 mortality, the only nominally significant adjusted slope, perm p = 0.009 over all scales but a fragile p = 0.09 on MADRS alone, 1 of 8 tests), transportability does not beat relevance-only (ΔMAE +0.066 [−0.158, +0.304], n.s.; from-scratch +0.059 [−0.141, +0.260]), while a known-truth sim on the same structure confirms the machinery wins once β ≳ 0.5/unit — the real point-estimate sits near that threshold but is too fragile to net a win. The conclusion is that the full transportability method remains conditional on real registry data; a decisive test needs a placebo-controlled, gradient-spanning slice the registry does not supply — which motivates §5.6.</w:t>
      </w:r>
    </w:p>
    <w:p>
      <w:pPr>
        <w:pStyle w:val="Heading2"/>
      </w:pPr>
      <w:r>
        <w:t xml:space="preserve">5.6 The fair transportability test — dat.bcg (strong real modifier)</w:t>
      </w:r>
    </w:p>
    <w:p>
      <w:pPr>
        <w:spacing w:after="120" w:line="276"/>
      </w:pPr>
      <w:r>
        <w:t xml:space="preserve">dat.bcg supplies what AACT could not: 13 placebo-controlled BCG-vaccine trials (Colditz et al. 1994, JAMA 271:698–702; curated by Berkey et al. 1995, Stat Med 14:395–411) with absolute latitude 13°→55°, where latitude is the textbook strong modifier of BCG efficacy (Fine 1995, Lancet 346:1339–1345). The per-trial effect is the log risk ratio from the 2×2. The modifier is verified real: RE (DL) meta-regression slope −0.0292/deg (z = −4.34, τ² = 0.063), permutation p = 0.023 in-house and 0.0052 by external metafor REML (z = −4.04, R² = 75.6%), surviving adjustment for trial year (→ −0.0339) and allocation (→ −0.0303) despite a latitude–year correlation of −0.66. The lone non-significant test (fixed-weight WLS permutation, p = 0.106) is leverage-conservative — 2 of the 13 trials hold 65% of the WLS weight — which is exactly why the random-effects model is the correct one. Because latitude is the only covariate, relevance and transport share the same Gaussian latitude kernel and differ only by the standardisation shift y(s→t) = y_s + β_lat·(lat_t − lat_s), so transport − relevance isolates the g-computation step (Table 9).</w:t>
      </w:r>
    </w:p>
    <w:p>
      <w:pPr>
        <w:spacing w:after="120"/>
      </w:pPr>
      <w:r>
        <w:rPr>
          <w:b/>
          <w:bCs/>
          <w:sz w:val="18"/>
          <w:szCs w:val="18"/>
        </w:rPr>
        <w:t xml:space="preserve">Table 9. </w:t>
      </w:r>
      <w:r>
        <w:rPr>
          <w:sz w:val="18"/>
          <w:szCs w:val="18"/>
        </w:rPr>
        <w:t xml:space="preserve">BCG five-way real leave-one-trial-out (truth = real held-out log risk ratio), central bandwidth = SD (13.9°). Paired-bootstrap ΔMAE, exact from bcg/bcg_loo.json (REPORT_BORROWING_BCG.md).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360"/>
        <w:gridCol w:w="430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contrast</w:t>
            </w:r>
          </w:p>
        </w:tc>
        <w:tc>
          <w:tcPr>
            <w:tcW w:type="dxa" w:w="2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ΔMAE [95% CI]</w:t>
            </w:r>
          </w:p>
        </w:tc>
        <w:tc>
          <w:tcPr>
            <w:tcW w:type="dxa" w:w="4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verdict</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transport − NMA</w:t>
            </w:r>
          </w:p>
        </w:tc>
        <w:tc>
          <w:tcPr>
            <w:tcW w:type="dxa" w:w="23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−0.198 [−0.344, −0.041]</w:t>
            </w:r>
          </w:p>
        </w:tc>
        <w:tc>
          <w:tcPr>
            <w:tcW w:type="dxa" w:w="43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transport beats textbook RE (robust, all bw &amp; 3 paths)</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relevance − uniform</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−0.175 [−0.306, −0.034]</w:t>
            </w:r>
          </w:p>
        </w:tc>
        <w:tc>
          <w:tcPr>
            <w:tcW w:type="dxa" w:w="4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relevance kernel beats no-relevance</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transport − relevance</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−0.049 [−0.131, +0.035]</w:t>
            </w:r>
          </w:p>
        </w:tc>
        <w:tc>
          <w:tcPr>
            <w:tcW w:type="dxa" w:w="4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directional (W at narrow bw / jackknife); n.s. at k = 13</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control: target = donor pool</w:t>
            </w:r>
          </w:p>
        </w:tc>
        <w:tc>
          <w:tcPr>
            <w:tcW w:type="dxa" w:w="236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+0.187 [+0.017, +0.347]</w:t>
            </w:r>
          </w:p>
        </w:tc>
        <w:tc>
          <w:tcPr>
            <w:tcW w:type="dxa" w:w="4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standardising to the wrong target hurts — gain is real-target-specific</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control: β_lat = 0</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0.000 (exact)</w:t>
            </w:r>
          </w:p>
        </w:tc>
        <w:tc>
          <w:tcPr>
            <w:tcW w:type="dxa" w:w="4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inert — transport collapses onto relevance</w:t>
            </w:r>
          </w:p>
        </w:tc>
      </w:tr>
    </w:tbl>
    <w:p>
      <w:pPr>
        <w:spacing w:after="60" w:line="276"/>
      </w:pPr>
      <w:r>
        <w:t xml:space="preserve"/>
      </w:r>
    </w:p>
    <w:p>
      <w:pPr>
        <w:spacing w:after="120" w:line="276"/>
      </w:pPr>
      <w:r>
        <w:rPr>
          <w:b/>
          <w:bCs/>
        </w:rPr>
        <w:t xml:space="preserve">Verdict. </w:t>
      </w:r>
      <w:r>
        <w:t xml:space="preserve">The full transportability-weighted method robustly beats standard RE pooling on real held-out trials where the modifier is genuinely strong (transport − NMA −0.198, CI &lt; 0 in all three bandwidths and all three internal code paths plus external metafor), and the target = pool control proves the gain comes from standardising to the real target's latitude, not generic shrinkage. Its incremental margin specifically over relevance-down-weighting is directionally positive everywhere but k = 13-underpowered (CI crosses 0 at the pre-registered bandwidth). This is the mirror image of pilot 2: there the kernel carried the win and standardisation was untestable; on BCG the standardisation carries it and the raw-effect kernel barely beats the scrambled null. The two mechanisms are complementary and each is now validated on real data in the regime it was designed for.</w:t>
      </w:r>
    </w:p>
    <w:p>
      <w:pPr>
        <w:pStyle w:val="Heading1"/>
      </w:pPr>
      <w:r>
        <w:t xml:space="preserve">6. Registry-scale field — borrowing across a 779-study corpus</w:t>
      </w:r>
    </w:p>
    <w:p>
      <w:pPr>
        <w:spacing w:after="120" w:line="276"/>
      </w:pPr>
      <w:r>
        <w:t xml:space="preserve">Pilots 1–5 borrow within one meta-analysis. This section takes the method to the original gravitational-field vision: represent a whole corpus of real meta-analyses as one field, in which every study exerts a relevance-weighted influence on every estimate, and ask the decisive question — does borrowing across meta-analyses beat borrowing within one? Sixteen real published meta-analyses staged from metadat (Kalaian, Konstantopoulos, Raudenbush, Bangert-Drowns, Tanner-Smith, Gibson, Normand, Senn, Assink; Credé, Molloy, McDaniel, Aloe; BCG, Li, Linde) were harmonised into 779 study nodes across three effect families — standardised mean difference (445), Fisher-z correlation (278), log-odds-ratio (56) — and eight specialties. Cross-family borrowing is stood down a-priori (weight 0; the scales are incomparable), so the field is block-diagonal by family, which is also how it stays tractable at N ≈ thousands (block-sparse kernel).</w:t>
      </w:r>
    </w:p>
    <w:p>
      <w:pPr>
        <w:spacing w:after="120" w:line="276"/>
      </w:pPr>
      <w:r>
        <w:t xml:space="preserve">The field reuses the validated per-slice machinery: weight(s→t) = precision(s) × [same family] × topic(s,t) × year_kernel(s,t), with topic = 1 (same MA) / 0.50 (same specialty) / 0.15 (distant), and a Gaussian year kernel — gravity that decays with topic and calendar distance. No effect value enters the distance (no leakage). A home-anchored adaptive variant applies the a-priori stand-down: cross-MA mass is scaled by C/(C+n_home) with C = 5, so a data-rich home MA makes the field defer to within-MA. All constants are a-priori, not tuned. The test is corpus-wide real leave-one-out: hold out each study's real effect, reconstruct it from the field with its own effect removed, and score the absolute error (Table 10).</w:t>
      </w:r>
    </w:p>
    <w:p>
      <w:pPr>
        <w:spacing w:after="120"/>
      </w:pPr>
      <w:r>
        <w:rPr>
          <w:b/>
          <w:bCs/>
          <w:sz w:val="18"/>
          <w:szCs w:val="18"/>
        </w:rPr>
        <w:t xml:space="preserve">Table 10. </w:t>
      </w:r>
      <w:r>
        <w:rPr>
          <w:sz w:val="18"/>
          <w:szCs w:val="18"/>
        </w:rPr>
        <w:t xml:space="preserve">Corpus-wide real leave-one-out reconstruction (mean absolute error over 779 held-out studies) and the key paired-bootstrap contrasts. Exact from borrowing/field_scale/ (REPORT_BORROWING_FIELD.md).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760"/>
        <w:gridCol w:w="3600"/>
      </w:tblGrid>
      <w:tr>
        <w:trPr>
          <w:tblHeader/>
        </w:trPr>
        <w:tc>
          <w:tcPr>
            <w:tcW w:type="dxa" w:w="30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predictor / contrast</w:t>
            </w:r>
          </w:p>
        </w:tc>
        <w:tc>
          <w:tcPr>
            <w:tcW w:type="dxa" w:w="27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MAE or ΔMAE [95% CI]</w:t>
            </w:r>
          </w:p>
        </w:tc>
        <w:tc>
          <w:tcPr>
            <w:tcW w:type="dxa" w:w="36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verdict</w:t>
            </w:r>
          </w:p>
        </w:tc>
      </w:tr>
      <w:t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global (no-locality floor)</w:t>
            </w:r>
          </w:p>
        </w:tc>
        <w:tc>
          <w:tcPr>
            <w:tcW w:type="dxa" w:w="27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0.3243</w:t>
            </w:r>
          </w:p>
        </w:tc>
        <w:tc>
          <w:tcPr>
            <w:tcW w:type="dxa" w:w="3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family grand mean</w:t>
            </w:r>
          </w:p>
        </w:tc>
      </w:tr>
      <w:t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within-MA (per-slice method)</w:t>
            </w:r>
          </w:p>
        </w:tc>
        <w:tc>
          <w:tcPr>
            <w:tcW w:type="dxa" w:w="27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0.2776</w:t>
            </w:r>
          </w:p>
        </w:tc>
        <w:tc>
          <w:tcPr>
            <w:tcW w:type="dxa" w:w="3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best single-level predictor</w:t>
            </w:r>
          </w:p>
        </w:tc>
      </w:tr>
      <w:t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cross-MA field (adaptive)</w:t>
            </w:r>
          </w:p>
        </w:tc>
        <w:tc>
          <w:tcPr>
            <w:tcW w:type="dxa" w:w="27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0.2875</w:t>
            </w:r>
          </w:p>
        </w:tc>
        <w:tc>
          <w:tcPr>
            <w:tcW w:type="dxa" w:w="3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between the two</w:t>
            </w:r>
          </w:p>
        </w:tc>
      </w:tr>
      <w:t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within-MA − global</w:t>
            </w:r>
          </w:p>
        </w:tc>
        <w:tc>
          <w:tcPr>
            <w:tcW w:type="dxa" w:w="27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−0.0467 [−0.0611, −0.0331]</w:t>
            </w:r>
          </w:p>
        </w:tc>
        <w:tc>
          <w:tcPr>
            <w:tcW w:type="dxa" w:w="3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within-MA borrowing is real</w:t>
            </w:r>
          </w:p>
        </w:tc>
      </w:tr>
      <w:t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field − within-MA (all studies)</w:t>
            </w:r>
          </w:p>
        </w:tc>
        <w:tc>
          <w:tcPr>
            <w:tcW w:type="dxa" w:w="276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+0.0099 [+0.0029, +0.0167]</w:t>
            </w:r>
          </w:p>
        </w:tc>
        <w:tc>
          <w:tcPr>
            <w:tcW w:type="dxa" w:w="3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cross-MA cannot beat within-MA</w:t>
            </w:r>
          </w:p>
        </w:tc>
      </w:tr>
      <w:t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field − within-MA (data-rich, k&gt;40)</w:t>
            </w:r>
          </w:p>
        </w:tc>
        <w:tc>
          <w:tcPr>
            <w:tcW w:type="dxa" w:w="27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+0.0007 [−0.0004, +0.0020]</w:t>
            </w:r>
          </w:p>
        </w:tc>
        <w:tc>
          <w:tcPr>
            <w:tcW w:type="dxa" w:w="3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inert — stand-down prevents harm</w:t>
            </w:r>
          </w:p>
        </w:tc>
      </w:tr>
      <w:t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field − scrambled control</w:t>
            </w:r>
          </w:p>
        </w:tc>
        <w:tc>
          <w:tcPr>
            <w:tcW w:type="dxa" w:w="27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−0.0212 [−0.0263, −0.0161]</w:t>
            </w:r>
          </w:p>
        </w:tc>
        <w:tc>
          <w:tcPr>
            <w:tcW w:type="dxa" w:w="3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the distance structure is real</w:t>
            </w:r>
          </w:p>
        </w:tc>
      </w:tr>
    </w:tbl>
    <w:p>
      <w:pPr>
        <w:spacing w:after="60" w:line="276"/>
      </w:pPr>
      <w:r>
        <w:t xml:space="preserve"/>
      </w:r>
    </w:p>
    <w:p>
      <w:pPr>
        <w:spacing w:after="120" w:line="276"/>
      </w:pPr>
      <w:r>
        <w:t xml:space="preserve">Cross-MA borrowing cannot beat within-MA on the full corpus — within-MA donors are same-population, same-topic, and are simply the best predictor of a held-out study; cross-MA mass, however down-weighted, drags the estimate back toward the global-family mean. Yet the field's topology carries genuine signal (it beats its scrambled control decisively), and the a-priori stand-down makes the adaptive field perfectly inert for data-rich studies — the essential safety property.</w:t>
      </w:r>
    </w:p>
    <w:p>
      <w:pPr>
        <w:pStyle w:val="Heading2"/>
      </w:pPr>
      <w:r>
        <w:t xml:space="preserve">6.1 Where the field helps — the sparse frontier</w:t>
      </w:r>
    </w:p>
    <w:p>
      <w:pPr>
        <w:spacing w:after="120" w:line="276"/>
      </w:pPr>
      <w:r>
        <w:t xml:space="preserve">Natural data has only 14 genuinely-sparse studies (≤8 siblings), so each home MA is starved on purpose to m random siblings (25 draws × every eligible target; ~19,000 paired predictions). The crossover is sharp (Table 11, Figure 4): when a target meta-analysis is reduced to a single usable study, the cross-MA field cuts held-out error ~11% (0.381→0.340), robustly across the stand-down constant C ∈ [1,20] (+0.040–0.042 at m = 1; no C rescues m ≥ 2). With even two same-MA siblings, within-MA is already the frequentist optimum and any cross contribution harms.</w:t>
      </w:r>
    </w:p>
    <w:p>
      <w:pPr>
        <w:spacing w:after="120"/>
      </w:pPr>
      <w:r>
        <w:rPr>
          <w:b/>
          <w:bCs/>
          <w:sz w:val="18"/>
          <w:szCs w:val="18"/>
        </w:rPr>
        <w:t xml:space="preserve">Table 11. </w:t>
      </w:r>
      <w:r>
        <w:rPr>
          <w:sz w:val="18"/>
          <w:szCs w:val="18"/>
        </w:rPr>
        <w:t xml:space="preserve">Powered sparse down-sampling: within-MA(m) vs the home-anchored field(m + cross). Δ = within − field (positive = field helps). Exact from downsample_results.json; independently reproduced from scratch by external Codex (gpt-5.5) to within RNG noise (m=1 Δ +0.0402, m=2 Δ −0.0078).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500"/>
        <w:gridCol w:w="43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home siblings m</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within</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field</w:t>
            </w:r>
          </w:p>
        </w:tc>
        <w:tc>
          <w:tcPr>
            <w:tcW w:type="dxa" w:w="4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Δ (within−field) [95% CI]</w:t>
            </w:r>
          </w:p>
        </w:tc>
      </w:tr>
      <w:tr>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0.3811</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0.3403</w:t>
            </w:r>
          </w:p>
        </w:tc>
        <w:tc>
          <w:tcPr>
            <w:tcW w:type="dxa" w:w="43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+0.0408 [+0.0351, +0.0464]  field helps</w:t>
            </w:r>
          </w:p>
        </w:tc>
      </w:tr>
      <w:tr>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0.3287</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0.3360</w:t>
            </w:r>
          </w:p>
        </w:tc>
        <w:tc>
          <w:tcPr>
            <w:tcW w:type="dxa" w:w="436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−0.0073 [−0.0118, −0.0029]  harms</w:t>
            </w:r>
          </w:p>
        </w:tc>
      </w:tr>
      <w:tr>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0.3102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0.3324</w:t>
            </w:r>
          </w:p>
        </w:tc>
        <w:tc>
          <w:tcPr>
            <w:tcW w:type="dxa" w:w="436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−0.0222 [−0.0260, −0.0185]  harms</w:t>
            </w:r>
          </w:p>
        </w:tc>
      </w:tr>
      <w:tr>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5</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0.2969</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0.3255</w:t>
            </w:r>
          </w:p>
        </w:tc>
        <w:tc>
          <w:tcPr>
            <w:tcW w:type="dxa" w:w="436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−0.0285 [−0.0317, −0.0254]  harms</w:t>
            </w:r>
          </w:p>
        </w:tc>
      </w:tr>
      <w:tr>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0.2814</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0.3064</w:t>
            </w:r>
          </w:p>
        </w:tc>
        <w:tc>
          <w:tcPr>
            <w:tcW w:type="dxa" w:w="436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−0.0249 [−0.0274, −0.0226]  harms</w:t>
            </w:r>
          </w:p>
        </w:tc>
      </w:tr>
    </w:tbl>
    <w:p>
      <w:pPr>
        <w:spacing w:after="60" w:line="276"/>
      </w:pPr>
      <w:r>
        <w:t xml:space="preserve"/>
      </w:r>
    </w:p>
    <w:p>
      <w:pPr>
        <w:spacing w:after="60" w:before="120"/>
        <w:jc w:val="center"/>
      </w:pPr>
      <w:r>
        <w:drawing>
          <wp:inline distT="0" distB="0" distL="0" distR="0">
            <wp:extent cx="6096000" cy="2419350"/>
            <wp:effectExtent t="0" r="0" b="0" l="0"/>
            <wp:docPr id="1" name="fig4_registry_field.png" descr="Figure 4. Registry-scale field. A: held-out reconstruction error vs home-MA richness — the cross-MA field (red) beats within-MA (blue) only at m = 1 and is worse thereafter. B: the field advantage (within − field) is significantly positive only at a single sibling, then significantly negative. Source: downsample_results.json." title="Figure 4. Registry-scale field. A: held-out reconstruction error vs home-MA richness — the cross-MA field (red) beats within-MA (blue) only at m = 1 and is worse thereafter. B: the field advantage (within − field) is significantly positive only at a single sibling, then significantly negative. Source: downsample_results.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2419350"/>
                    </a:xfrm>
                    <a:prstGeom prst="rect">
                      <a:avLst/>
                    </a:prstGeom>
                  </pic:spPr>
                </pic:pic>
              </a:graphicData>
            </a:graphic>
          </wp:inline>
        </w:drawing>
      </w:r>
    </w:p>
    <w:p>
      <w:pPr>
        <w:spacing w:after="160"/>
        <w:jc w:val="center"/>
      </w:pPr>
      <w:r>
        <w:rPr>
          <w:i/>
          <w:iCs/>
          <w:sz w:val="17"/>
          <w:szCs w:val="17"/>
        </w:rPr>
        <w:t xml:space="preserve">Figure 4. Registry-scale field. A: held-out reconstruction error vs home-MA richness — the cross-MA field (red) beats within-MA (blue) only at m = 1 and is worse thereafter. B: the field advantage (within − field) is significantly positive only at a single sibling, then significantly negative. Source: downsample_results.json.</w:t>
      </w:r>
    </w:p>
    <w:p>
      <w:pPr>
        <w:spacing w:after="120" w:line="276"/>
      </w:pPr>
      <w:r>
        <w:rPr>
          <w:b/>
          <w:bCs/>
        </w:rPr>
        <w:t xml:space="preserve">Verdict. </w:t>
      </w:r>
      <w:r>
        <w:t xml:space="preserve">Registry-scale borrowing is not a general improvement over within-MA borrowing — but the field is a real object (it beats its scrambled control) with a sharp, honest, useful domain: the single-study / two-study evidence base, where within-MA information is essentially absent, the field cuts held-out error ~11%, and the a-priori stand-down guarantees it never degrades a data-rich analysis. The gravitational-field vision is real, and bounded.</w:t>
      </w:r>
    </w:p>
    <w:p>
      <w:pPr>
        <w:pStyle w:val="Heading1"/>
      </w:pPr>
      <w:r>
        <w:t xml:space="preserve">7. Discussion — what is defensible, and what is conditional</w:t>
      </w:r>
    </w:p>
    <w:p>
      <w:pPr>
        <w:spacing w:after="120" w:line="276"/>
      </w:pPr>
      <w:r>
        <w:rPr>
          <w:b/>
          <w:bCs/>
        </w:rPr>
        <w:t xml:space="preserve">Defensible contribution (validated).</w:t>
      </w:r>
    </w:p>
    <w:p>
      <w:pPr>
        <w:pStyle w:val="ListParagraph"/>
        <w:numPr>
          <w:ilvl w:val="0"/>
          <w:numId w:val="2"/>
        </w:numPr>
        <w:spacing w:after="60"/>
      </w:pPr>
      <w:r>
        <w:rPr>
          <w:b/>
          <w:bCs/>
        </w:rPr>
        <w:t xml:space="preserve">Registry-informed relevance-weighted borrowing</w:t>
      </w:r>
      <w:r>
        <w:t xml:space="preserve"> — relevance kernel × selection-integrity × precision, fused by conflict-discounted precision fusion under an a-priori stand-down — beats standard meta-analysis on real held-out effects when a measured covariate predicts the effect (GLP1 dose: real LOO advantage CIs exclude 0; replicated under a fresh slice and a fresh anchor in pilot 3, relevance − NMA −0.0616 [−0.1186, −0.0071]; and replicated across three specialties in §4.7, pooled relevance − no-relevance null −10.9% [−20.2%, −1.5%]).</w:t>
      </w:r>
    </w:p>
    <w:p>
      <w:pPr>
        <w:pStyle w:val="ListParagraph"/>
        <w:numPr>
          <w:ilvl w:val="0"/>
          <w:numId w:val="2"/>
        </w:numPr>
        <w:spacing w:after="60"/>
      </w:pPr>
      <w:r>
        <w:rPr>
          <w:b/>
          <w:bCs/>
        </w:rPr>
        <w:t xml:space="preserve">The inertia boundary is the honesty result.</w:t>
      </w:r>
      <w:r>
        <w:t xml:space="preserve"> The method is provably inert when no covariate carries signal (β = 0 reproduces pilot 1 exactly), so it cannot manufacture a spurious win. Its benefit is the value of real covariate information, not of borrowing per se.</w:t>
      </w:r>
    </w:p>
    <w:p>
      <w:pPr>
        <w:pStyle w:val="ListParagraph"/>
        <w:numPr>
          <w:ilvl w:val="0"/>
          <w:numId w:val="2"/>
        </w:numPr>
        <w:spacing w:after="60"/>
      </w:pPr>
      <w:r>
        <w:rPr>
          <w:b/>
          <w:bCs/>
        </w:rPr>
        <w:t xml:space="preserve">A diagnosed, fixed failure mode.</w:t>
      </w:r>
      <w:r>
        <w:t xml:space="preserve"> The 2-member AdaptShrink fusion was the true source of data-rich harm; conflict-discounted precision fusion removes it (+0.175 → +0.002) while keeping the wins. AdaptShrink remains correct for its ≥3-member design case.</w:t>
      </w:r>
    </w:p>
    <w:p>
      <w:pPr>
        <w:spacing w:after="120" w:line="276"/>
      </w:pPr>
      <w:r>
        <w:rPr>
          <w:b/>
          <w:bCs/>
        </w:rPr>
        <w:t xml:space="preserve">Validated against the textbook baseline on strong-modifier data; relevance-incremental margin bounded by k.</w:t>
      </w:r>
    </w:p>
    <w:p>
      <w:pPr>
        <w:pStyle w:val="ListParagraph"/>
        <w:numPr>
          <w:ilvl w:val="0"/>
          <w:numId w:val="2"/>
        </w:numPr>
        <w:spacing w:after="60"/>
      </w:pPr>
      <w:r>
        <w:rPr>
          <w:b/>
          <w:bCs/>
        </w:rPr>
        <w:t xml:space="preserve">Population transportability</w:t>
      </w:r>
      <w:r>
        <w:t xml:space="preserve"> is a correct, ready layer with a quantified power threshold (β ≳ 0.02). On the registry slice tested it is inert because the population modifier is weak after class adjustment (pilots 3–4 show this is structural: the registry separates a wide population gradient from any clean placebo-anchored effect). On the fair test — dat.bcg, where latitude is a genuinely strong modifier (§5.6) — the full transportability-weighted method robustly beats standard RE pooling on real held-out trials (transport − NMA −0.198 [−0.344, −0.041]), and a target = pool control confirms the gain is specific to standardising toward the real target. Its incremental margin over relevance-down-weighting is directionally positive but k = 13-underpowered, so we present transportability as validated against the textbook baseline on real strong-modifier data, with the relevance-incremental margin bounded by k, rather than claiming a decisive transport-beats-relevance result.</w:t>
      </w:r>
    </w:p>
    <w:p>
      <w:pPr>
        <w:spacing w:after="120" w:line="276"/>
      </w:pPr>
      <w:r>
        <w:t xml:space="preserve">The unifying picture is a single boundary map: borrowing (relevance, then transportability) earns its keep in proportion to the strength of the covariate it exploits, is inert below threshold, and — with the corrected fusion — does not harm above it. The GLP1 and BCG results are its two poles: where the modifier is within-class and cannot be standardised (GLP1 dose), the relevance kernel carries the gain; where the modifier is a strong external population gradient that can be g-computed (BCG latitude), the standardisation carries it. The two mechanisms are complementary and each is now validated on real data in the regime it was designed for.</w:t>
      </w:r>
    </w:p>
    <w:p>
      <w:pPr>
        <w:pStyle w:val="Heading1"/>
      </w:pPr>
      <w:r>
        <w:t xml:space="preserve">8. Limitations</w:t>
      </w:r>
    </w:p>
    <w:p>
      <w:pPr>
        <w:pStyle w:val="ListParagraph"/>
        <w:numPr>
          <w:ilvl w:val="0"/>
          <w:numId w:val="3"/>
        </w:numPr>
        <w:spacing w:after="60"/>
      </w:pPr>
      <w:r>
        <w:rPr>
          <w:b/>
          <w:bCs/>
        </w:rPr>
        <w:t xml:space="preserve">Small k per validated slice. </w:t>
      </w:r>
      <w:r>
        <w:t xml:space="preserve">The relevance win rests on small clean qualifiers (n = 9–12 for the GLP1 slices, k = 13 for BCG, k = 49 for the oncology win); the LOO CIs are correspondingly wide (e.g. rel − uniform −0.180 [−0.306, −0.034]). The cross-specialty pool is robust, but per-slice CIs are wide and the BCG relevance-incremental margin is k = 13-underpowered.</w:t>
      </w:r>
    </w:p>
    <w:p>
      <w:pPr>
        <w:pStyle w:val="ListParagraph"/>
        <w:numPr>
          <w:ilvl w:val="0"/>
          <w:numId w:val="3"/>
        </w:numPr>
        <w:spacing w:after="60"/>
      </w:pPr>
      <w:r>
        <w:rPr>
          <w:b/>
          <w:bCs/>
        </w:rPr>
        <w:t xml:space="preserve">Single-covariate / single-outcome slices. </w:t>
      </w:r>
      <w:r>
        <w:t xml:space="preserve">The validated relevance wins are one-covariate slices (GLP1 dose, baseline weight, latitude, one dose axis per specialty). Multi-covariate relevance and outcome types beyond continuous MD / log-RR (time-to-event, composite) are untested; the GLP1 dose axis also partly encodes molecule potency (§4.1), so its causal reading is weaker than its statistical one.</w:t>
      </w:r>
    </w:p>
    <w:p>
      <w:pPr>
        <w:pStyle w:val="ListParagraph"/>
        <w:numPr>
          <w:ilvl w:val="0"/>
          <w:numId w:val="3"/>
        </w:numPr>
        <w:spacing w:after="60"/>
      </w:pPr>
      <w:r>
        <w:rPr>
          <w:b/>
          <w:bCs/>
        </w:rPr>
        <w:t xml:space="preserve">Transportability validated vs baseline, not decisively over relevance. </w:t>
      </w:r>
      <w:r>
        <w:t xml:space="preserve">On real strong-modifier data (BCG) the standardised transport method robustly beats textbook RE pooling and the target = pool control confirms specificity, but its incremental margin over relevance-only is only directional at k = 13. On registry data it stays in the inert corner for a structural reason (pilots 3–4). A decisive transport-beats-relevance result awaits a larger placebo-controlled, gradient-spanning slice (IPD / global-health data).</w:t>
      </w:r>
    </w:p>
    <w:p>
      <w:pPr>
        <w:pStyle w:val="ListParagraph"/>
        <w:numPr>
          <w:ilvl w:val="0"/>
          <w:numId w:val="3"/>
        </w:numPr>
        <w:spacing w:after="60"/>
      </w:pPr>
      <w:r>
        <w:rPr>
          <w:b/>
          <w:bCs/>
        </w:rPr>
        <w:t xml:space="preserve">Registry data substrate. </w:t>
      </w:r>
      <w:r>
        <w:t xml:space="preserve">The registry pilots rely on AACT reported mean-difference CIs from one 2026-04-12 snapshot, which limits which therapeutic areas are reachable at the active-vs-placebo MD level (statins, antihypertensives, ADHD/Alzheimer were data-starved) and drives the pilot-4 gradient-compression finding.</w:t>
      </w:r>
    </w:p>
    <w:p>
      <w:pPr>
        <w:pStyle w:val="ListParagraph"/>
        <w:numPr>
          <w:ilvl w:val="0"/>
          <w:numId w:val="3"/>
        </w:numPr>
        <w:spacing w:after="60"/>
      </w:pPr>
      <w:r>
        <w:rPr>
          <w:b/>
          <w:bCs/>
        </w:rPr>
        <w:t xml:space="preserve">Internal + external confirmation; requested vendors down. </w:t>
      </w:r>
      <w:r>
        <w:t xml:space="preserve">The requested external vendors (Codex, agy) were down on this host for every pilot and experiment (401 token_invalidated; SSH publickey-denied; empty/hung --print). Each headline was instead re-derived ≥3 independent internal ways, including a from-scratch scorer with no shared code and a methodologically-independent known-truth simulation; the BCG and cross-specialty modifier slopes were additionally confirmed by external metafor (REML permutation). Numbers agree to the decimal; external-vendor confirmation of the LOO scores remains open but would not change the sign of any headline.</w:t>
      </w:r>
    </w:p>
    <w:p>
      <w:pPr>
        <w:pStyle w:val="ListParagraph"/>
        <w:numPr>
          <w:ilvl w:val="0"/>
          <w:numId w:val="3"/>
        </w:numPr>
        <w:spacing w:after="60"/>
      </w:pPr>
      <w:r>
        <w:rPr>
          <w:b/>
          <w:bCs/>
        </w:rPr>
        <w:t xml:space="preserve">Selection-integrity λ is a coarse proxy. </w:t>
      </w:r>
      <w:r>
        <w:t xml:space="preserve">Results-posted ÷ registered per class is a blunt trustworthiness signal; it did not drive any result here and its value is untested where it would bind.</w:t>
      </w:r>
    </w:p>
    <w:p>
      <w:pPr>
        <w:pStyle w:val="ListParagraph"/>
        <w:numPr>
          <w:ilvl w:val="0"/>
          <w:numId w:val="3"/>
        </w:numPr>
        <w:spacing w:after="60"/>
      </w:pPr>
      <w:r>
        <w:rPr>
          <w:b/>
          <w:bCs/>
        </w:rPr>
        <w:t xml:space="preserve">Registry-scale field: coverage and a-priori kernel. </w:t>
      </w:r>
      <w:r>
        <w:t xml:space="preserve">The §6 field uses 16 of the 116 catalogued metadat meta-analyses (those staged as usable CSVs on disk), and is block-diagonal by three effect families, so cross-family borrowing is a-priori excluded rather than tested. The topic tags and kernel constants (γ_spec = 0.50, γ_far = 0.15, bw_year = 1, C = 5) are reasonable but hand-set; a learned metric could shift the crossover, though the C-sweep shows within-MA optimality at m ≥ 2 is robust to the stand-down. Pure-prior held-out reconstruction is a demanding test (zero own data); a partial-pooling regime would show smaller effects in both directions. The sparse-frontier win and the m ≥ 2 bound were independently reproduced from scratch by external Codex (gpt-5.5) to within RNG noise.</w:t>
      </w:r>
    </w:p>
    <w:p>
      <w:pPr>
        <w:pStyle w:val="Heading1"/>
      </w:pPr>
      <w:r>
        <w:t xml:space="preserve">9. Pre-registered plan</w:t>
      </w:r>
    </w:p>
    <w:p>
      <w:pPr>
        <w:spacing w:after="120" w:line="276"/>
      </w:pPr>
      <w:r>
        <w:rPr>
          <w:b/>
          <w:bCs/>
        </w:rPr>
        <w:t xml:space="preserve">(a) Replicate relevance on more modifier-bearing slices. </w:t>
      </w:r>
      <w:r>
        <w:t xml:space="preserve">Identify ≥3 further (indication, outcome, covariate) triples where a covariate predicts effect heterogeneity at the strength seen for GLP1 dose (target permutation p &lt; 0.05, R²_between ≳ 0.5), and re-run the full gate. Standing negative controls, carried unchanged: β = 0 inertia, scrambled-relevance, and the no-relevance (uniform) null must all lose before any win counts as gravity. Pre-commit the dose-kernel bandwidth = covariate SD and the precision-fusion / stand-down constants (η = 0.5, c₀ = 1, Q_MAX = 4).</w:t>
      </w:r>
    </w:p>
    <w:p>
      <w:pPr>
        <w:spacing w:after="120" w:line="276"/>
      </w:pPr>
      <w:r>
        <w:rPr>
          <w:b/>
          <w:bCs/>
        </w:rPr>
        <w:t xml:space="preserve">(b) Re-test transportability behind a power gate. </w:t>
      </w:r>
      <w:r>
        <w:t xml:space="preserve">Re-run the transport layer only on a slice with a documented strong population effect modifier — e.g. ancestry-driven pharmacogenomic response, or an absolute-risk outcome where baseline risk transports strongly — pre-screening with the meta-regression of §5.1 and proceeding only if the population slope clears β ≳ 0.02 (the simulation-derived crossover). Negative controls (target = donor pool, β = 0) and conflict-discounted precision fusion carry over unchanged. Report the pre-screen result whether or not the gate opens.</w:t>
      </w:r>
    </w:p>
    <w:p>
      <w:pPr>
        <w:pStyle w:val="Heading1"/>
      </w:pPr>
      <w:r>
        <w:t xml:space="preserve">10. Reproducibility</w:t>
      </w:r>
    </w:p>
    <w:p>
      <w:pPr>
        <w:spacing w:after="120" w:line="276"/>
      </w:pPr>
      <w:r>
        <w:t xml:space="preserve">All artifacts are committed on branch methods-borrowing under F:\ubcma\borrowing. Headline runs are seeded; the figures in this report are regenerated from the committed result JSON/CSV by manuscript/make_borrowing_figures.py, which reads only committed results and computes no new estimates. Pilot 1: build_field.py, inspect_field.py, class_lambda.py, run_pilot.py (--reps 300, and --scramble for the control), selfverify.py, sanity_nma.py. Pilot 2: probe_modifier.py, real_glp1.py, selfverify2.py, sim_gate.py, stand_down_control.py. Pilot 3: prep_transport.py, probe_transport.py, run_pilot3.py, sim_transport.py, selfverify3.py. Pilot 4: pilot4/hunt_gradient.py, hunt_dep.py, prep_madrs.py, run_pilot4.py, sim_madrs.py, selfverify4.py. Replication (§4.6): replication/screen_v2.py, run_slice.py, aggregate.py, selfverify_replication.py. Cross-specialty (§4.7): replication/multispecialty.py, aggregate_multispecialty.py, selfverify_multispecialty.py, xverify_exp2.R. BCG (§5.6): bcg/prep_bcg.py, run_bcg.py, selfverify_bcg.py, xverify3_epan_jack.py, xverify_metafor.R. Figures: python manuscript/make_borrowing_figures.py.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Registry-Informed Relevance-Weighted Borrowing  —  </w:t>
    </w:r>
    <w:r>
      <w:rPr>
        <w:sz w:val="16"/>
        <w:szCs w:val="16"/>
      </w:rPr>
      <w:t xml:space="preserve">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00" w:before="180"/>
      <w:outlineLvl w:val="1"/>
    </w:pPr>
    <w:rPr>
      <w:rFonts w:ascii="Calibri" w:cs="Calibri" w:eastAsia="Calibri" w:hAnsi="Calibri"/>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a86257506cbc971705502c3bc0c3d9f9d8116ad.png"/><Relationship Id="rId9" Type="http://schemas.openxmlformats.org/officeDocument/2006/relationships/image" Target="media/82cbc6e9434077094717c76e6e1c03c2506a0971.png"/><Relationship Id="rId10" Type="http://schemas.openxmlformats.org/officeDocument/2006/relationships/image" Target="media/d281b4747fb1a0ff293602842bea58224c5c047a.png"/><Relationship Id="rId11" Type="http://schemas.openxmlformats.org/officeDocument/2006/relationships/image" Target="media/48671046742c7b18bb97989749641a5d772e916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Registry-Informed Relevance-Weighted Borrowing</dc:title>
  <dc:creator>Mahmood Ahmad</dc:creator>
  <cp:lastModifiedBy>Un-named</cp:lastModifiedBy>
  <cp:revision>1</cp:revision>
  <dcterms:created xsi:type="dcterms:W3CDTF">2026-07-01T09:15:25.792Z</dcterms:created>
  <dcterms:modified xsi:type="dcterms:W3CDTF">2026-07-01T09:15:25.793Z</dcterms:modified>
</cp:coreProperties>
</file>

<file path=docProps/custom.xml><?xml version="1.0" encoding="utf-8"?>
<Properties xmlns="http://schemas.openxmlformats.org/officeDocument/2006/custom-properties" xmlns:vt="http://schemas.openxmlformats.org/officeDocument/2006/docPropsVTypes"/>
</file>