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with one honest exception: Henmi–Copas posts a negligible formal win (ΔMCIW0 −0.008 [−0.023, −0.001]) in the single most extreme cell (B = 0.30, Regime B) — within Monte-Carlo noise and an order of magnitude below the registry margin there — so it is not a deployable alternative, but 'no internal model ever wins' would be strictly over-broad.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20" w:line="276"/>
      </w:pPr>
      <w:r>
        <w:rPr>
          <w:b/>
          <w:bCs/>
        </w:rPr>
        <w:t xml:space="preserve">Independent cross-vendor witness. </w:t>
      </w:r>
      <w:r>
        <w:t xml:space="preserve">An external vendor (Codex, GPT-5.5), given only the per-analysis records, the senn2013 dataset, and a written specification — and instructed to import none of our code — implemented its own aggregation, its own random-effects NMA, and its own bootstrap. It reproduced the engine-free claims to four decimal places (κ_pooled 0.15759 vs 0.1576; corr +0.50142 vs +0.501; identical per-class κ_MD and class set) and, on its own NMA engine, reproduced the truth-gate relationship exactly: the frozen external κ tracks the oracle at B = 0.15 (its ΔMCIW0 −0.1020 vs oracle −0.1018, within 0.0002; both win), over-corrects at B = 0 (+0.055), and under-corrects at B = 0.30 — verdict "CONFIRMS". Absolute ΔMCIW0 levels differ slightly from ours (−0.102 vs −0.119 at B = 0.15) only because of the independent NMA implementation and RNG; the conclusion is identical. The cross-vendor check also surfaced the honest single-cell Henmi–Copas exception noted in §3.3, which we have hedged accordingly.</w:t>
      </w:r>
    </w:p>
    <w:p>
      <w:pPr>
        <w:spacing w:after="120" w:line="276"/>
      </w:pPr>
      <w:r>
        <w:rPr>
          <w:b/>
          <w:bCs/>
        </w:rPr>
        <w:t xml:space="preserve">Falsification — registry ordering or just shrinkage? </w:t>
      </w:r>
      <w:r>
        <w:t xml:space="preserve">Permuting the λ values across treatments in the correction (bias still injected with the true λ) decomposes the gain honestly. Every scrambled permutation still wins (under selection any null-ward shrinkage helps — a generic-shrinkage floor), but the true λ ordering beats the scrambled distribution (permutation p = 0.025 at B = 0.15, 0.000 at B = 0.30) and its advantage grows with selection strength (ordering gain +0.033 → +0.091). So the registry ordering carries genuine, statistically significant per-class information beyond generic shrinkage — while we do not claim it is the sole driver.</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A third domain — lipid-lowering therapy (LDL-C) — reproduces the trial-level inflation robustly (statin z-gap +1.23 [+0.81, +1.75], ezetimibe +1.33 [+0.88, +1.89]; percent-change |MD| +0.50 and +0.45, all CIs exclude 0), but its severity-correlation is not testable because lipid trials are publication-saturated (only 2 classes clear the registered-only threshold; PCSK9 268 published vs 6 registered-only, fibrate/bile-acid/niacin none). Across three domains the 'published effects are inflated' signal reproduces robustly; the 'gap grows with selection severity' correlation is established in diabetes (7 classes), suggestive in antidepressants (3 classes), and not testable in publication-saturated lipids. A fourth domain we tested — antihypertensive therapy (systolic BP) — does NOT reproduce: per-class gaps are mostly null-to-negative (ARB −0.13, diuretic −0.27) and the 3-class correlation is uninformative (CI spanning [−1, +1]). We report this plainly and do not over-diagnose it (a placebo-comparator check did not separate BP from diabetes); the honest conclusion is that the registered-versus-published gap is a real but domain-dependent phenomenon — demonstrated in diabetes/antidepressants/lipids, absent in antihypertensive SBP on this snapshot. Diabetes remains the primary validation.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(bar a single negligible −0.008 Henmi–Copas formal win in the most extreme selection cell),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2026-07-04T12:35:59.796Z</dcterms:created>
  <dcterms:modified xsi:type="dcterms:W3CDTF">2026-07-04T12:35:59.796Z</dcterms:modified>
</cp:coreProperties>
</file>

<file path=docProps/custom.xml><?xml version="1.0" encoding="utf-8"?>
<Properties xmlns="http://schemas.openxmlformats.org/officeDocument/2006/custom-properties" xmlns:vt="http://schemas.openxmlformats.org/officeDocument/2006/docPropsVTypes"/>
</file>