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supports the registry model with no oracle: the per-class effect gap rises with selection severity (Pearson r = 0.50 vs 1−λ — descriptively supportive but, at 7 classes, not significant alone: permutation p = 0.15; the robust support is the trial-level per-class gaps and the scrambled-λ falsification).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Descriptively, the gap grows with registry selection severity: κ_MD(c) correlates with (1 − λc) at Pearson r = 0.50, through-origin slope 0.26 (Figure 1). We flag the caveat directly: over 7 classes this class-level correlation is suggestive, not significant (permutation p = 0.15; bootstrap 95% CI [−0.92, +0.96]). The oracle-free support that registry λ ranks selection severity in the same direction as the published-effect inflation rests on the trial-level per-class gaps (CIs excluding 0 in the well-powered classes) and, decisively, on the scrambled-λ falsification (§3.4, permutation p 0.025 → 0.000, powered over replicates × treatments); the 7-class correlation is a descriptive summary, not the inferential basis.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with one honest exception: Henmi–Copas posts a negligible formal win (ΔMCIW0 −0.008 [−0.023, −0.001]) in the single most extreme cell (B = 0.30, Regime B) — within Monte-Carlo noise and an order of magnitude below the registry margin there — so it is not a deployable alternative, but 'no internal model ever wins' would be strictly over-broad.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 The cross-vendor check also surfaced the honest single-cell Henmi–Copas exception noted in §3.3, which we have hedged accordingly.</w:t>
      </w:r>
    </w:p>
    <w:p>
      <w:pPr>
        <w:spacing w:after="120" w:line="276"/>
      </w:pPr>
      <w:r>
        <w:rPr>
          <w:b/>
          <w:bCs/>
        </w:rPr>
        <w:t xml:space="preserve">Falsification — registry ordering or just shrinkage? </w:t>
      </w:r>
      <w:r>
        <w:t xml:space="preserve">Permuting the λ values across treatments in the correction (bias still injected with the true λ) decomposes the gain honestly. Every scrambled permutation still wins (under selection any null-ward shrinkage helps — a generic-shrinkage floor), but the true λ ordering beats the scrambled distribution (permutation p = 0.025 at B = 0.15, 0.000 at B = 0.30) and its advantage grows with selection strength (ordering gain +0.033 → +0.091). So the registry ordering carries genuine, statistically significant per-class information beyond generic shrinkage — while we do not claim it is the sole driver.</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 Sensitivity to the split definition: the result is robust to the substantive definition — under DERIVED-only (a publication genuinely cites the NCT) the correlation is stronger (+0.73, κ_pooled 0.118) — but sensitive to RESULT-only, which flips to −0.33. That flip is the expected behaviour of a poor proxy: sponsor-added RESULT citations are sparse and idiosyncratic, so their registered-only arm is contaminated by trials that are in fact published (caught by DERIVED). This is why the pre-specified definition uses the DERIVED-or-RESULT union; we report the RESULT-only divergence rather than tune to the stronger DERIVED-only.</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A fourth domain we tested — antihypertensive therapy (systolic BP) — does NOT reproduce: per-class gaps are mostly null-to-negative (ARB −0.13, diuretic −0.27) and the 3-class correlation is uninformative (CI spanning [−1, +1]). We report this plainly and do not over-diagnose it (a placebo-comparator check did not separate BP from diabetes); the honest conclusion is that the registered-versus-published gap is a real but domain-dependent phenomenon — demonstrated in diabetes/antidepressants/lipids, absent in antihypertensive SBP on this snapshot.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(bar a single negligible −0.008 Henmi–Copas formal win in the most extreme selection cell),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2026-07-04T13:32:20.682Z</dcterms:created>
  <dcterms:modified xsi:type="dcterms:W3CDTF">2026-07-04T13:32:20.683Z</dcterms:modified>
</cp:coreProperties>
</file>

<file path=docProps/custom.xml><?xml version="1.0" encoding="utf-8"?>
<Properties xmlns="http://schemas.openxmlformats.org/officeDocument/2006/custom-properties" xmlns:vt="http://schemas.openxmlformats.org/officeDocument/2006/docPropsVTypes"/>
</file>