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with one honest exception: Henmi–Copas posts a negligible formal win (ΔMCIW0 −0.008 [−0.023, −0.001]) in the single most extreme cell (B = 0.30, Regime B) — within Monte-Carlo noise and an order of magnitude below the registry margin there — so it is not a deployable alternative, but 'no internal model ever wins' would be strictly over-broad.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 The cross-vendor check also surfaced the honest single-cell Henmi–Copas exception noted in §3.3, which we have hedged accordingly.</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(bar a single negligible −0.008 Henmi–Copas formal win in the most extreme selection cell),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2026-07-04T12:27:19.212Z</dcterms:created>
  <dcterms:modified xsi:type="dcterms:W3CDTF">2026-07-04T12:27:19.212Z</dcterms:modified>
</cp:coreProperties>
</file>

<file path=docProps/custom.xml><?xml version="1.0" encoding="utf-8"?>
<Properties xmlns="http://schemas.openxmlformats.org/officeDocument/2006/custom-properties" xmlns:vt="http://schemas.openxmlformats.org/officeDocument/2006/docPropsVTypes"/>
</file>