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validates the registry model with no oracle: the per-class effect gap rises with selection severity (Pearson r = 0.50 vs 1−λ).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Critically, the gap grows with registry selection severity: κ_MD(c) correlates with (1 − λc) at Pearson r = 0.50, and its through-origin regression slope is 0.26 (Figure 1). This is an external, oracle-free confirmation that the registry λ ranks selection severity in the same direction as the actual published-effect inflation — the assumption the correction rests on, now supported by independent data.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Diabetes (7 classes) remains the primary validation; antidepressants corroborate it in a second, independent domain.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2026-07-04T07:13:01.415Z</dcterms:created>
  <dcterms:modified xsi:type="dcterms:W3CDTF">2026-07-04T07:13:01.415Z</dcterms:modified>
</cp:coreProperties>
</file>

<file path=docProps/custom.xml><?xml version="1.0" encoding="utf-8"?>
<Properties xmlns="http://schemas.openxmlformats.org/officeDocument/2006/custom-properties" xmlns:vt="http://schemas.openxmlformats.org/officeDocument/2006/docPropsVTypes"/>
</file>