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Diabetes (7 classes) remains the primary validation; antidepressants corroborate it in a second, independent domain.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2026-07-04T07:06:01.023Z</dcterms:created>
  <dcterms:modified xsi:type="dcterms:W3CDTF">2026-07-04T07:06:01.024Z</dcterms:modified>
</cp:coreProperties>
</file>

<file path=docProps/custom.xml><?xml version="1.0" encoding="utf-8"?>
<Properties xmlns="http://schemas.openxmlformats.org/officeDocument/2006/custom-properties" xmlns:vt="http://schemas.openxmlformats.org/officeDocument/2006/docPropsVTypes"/>
</file>