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0"/>
          <w:szCs w:val="30"/>
        </w:rPr>
        <w:t xml:space="preserve">Registry-scale evidence borrowing for meta-analysis: a learned relevance kernel with conformal calibration beats within-meta-analysis borrowing, where hand-set relevance is inert</w:t>
      </w:r>
    </w:p>
    <w:p>
      <w:pPr>
        <w:spacing w:after="40" w:line="276"/>
      </w:pPr>
      <w:r>
        <w:rPr>
          <w:b/>
          <w:bCs/>
        </w:rPr>
        <w:t xml:space="preserve">Mahmood Ahmad</w:t>
      </w:r>
      <w:r>
        <w:rPr>
          <w:vertAlign w:val="superscript"/>
        </w:rPr>
        <w:t xml:space="preserve">¹²</w:t>
      </w:r>
    </w:p>
    <w:p>
      <w:pPr>
        <w:spacing w:after="20" w:line="276"/>
      </w:pPr>
      <w:r>
        <w:rPr>
          <w:sz w:val="18"/>
          <w:szCs w:val="18"/>
        </w:rPr>
        <w:t xml:space="preserve">¹ </w:t>
      </w:r>
      <w:r>
        <w:rPr>
          <w:sz w:val="18"/>
          <w:szCs w:val="18"/>
        </w:rPr>
        <w:t xml:space="preserve">Royal Free Hospital, London, United Kingdom</w:t>
      </w:r>
    </w:p>
    <w:p>
      <w:pPr>
        <w:spacing w:after="40" w:line="276"/>
      </w:pPr>
      <w:r>
        <w:rPr>
          <w:sz w:val="18"/>
          <w:szCs w:val="18"/>
        </w:rPr>
        <w:t xml:space="preserve">² </w:t>
      </w:r>
      <w:r>
        <w:rPr>
          <w:sz w:val="18"/>
          <w:szCs w:val="18"/>
        </w:rPr>
        <w:t xml:space="preserve">Tahir Heart Institute, Rabwah, Pakistan</w:t>
      </w:r>
    </w:p>
    <w:p>
      <w:pPr>
        <w:spacing w:after="80" w:line="276"/>
      </w:pPr>
      <w:r>
        <w:rPr>
          <w:sz w:val="18"/>
          <w:szCs w:val="18"/>
        </w:rPr>
        <w:t xml:space="preserve">ORCID: 0000-0001-9107-3704. Correspondence: Mahmood Ahmad (mahmood726@gmail.com).</w:t>
      </w:r>
    </w:p>
    <w:p>
      <w:pPr>
        <w:spacing w:after="40" w:line="276"/>
      </w:pPr>
      <w:r>
        <w:rPr>
          <w:b/>
          <w:bCs/>
          <w:sz w:val="18"/>
          <w:szCs w:val="18"/>
        </w:rPr>
        <w:t xml:space="preserve">Competing interests. </w:t>
      </w:r>
      <w:r>
        <w:rPr>
          <w:sz w:val="18"/>
          <w:szCs w:val="18"/>
        </w:rPr>
        <w:t xml:space="preserve">The author is an honorary member of the editorial board of Synthēsis (former Editor-in-Chief) and had no role in the handling, peer review, or editorial decision-making for this manuscript; any submission would be handled independently by another editor of the journal.</w:t>
      </w:r>
    </w:p>
    <w:p>
      <w:pPr>
        <w:spacing w:after="40" w:line="276"/>
      </w:pPr>
      <w:r>
        <w:rPr>
          <w:b/>
          <w:bCs/>
          <w:sz w:val="18"/>
          <w:szCs w:val="18"/>
        </w:rPr>
        <w:t xml:space="preserve">Funding. </w:t>
      </w:r>
      <w:r>
        <w:rPr>
          <w:sz w:val="18"/>
          <w:szCs w:val="18"/>
        </w:rPr>
        <w:t xml:space="preserve">None.</w:t>
      </w:r>
    </w:p>
    <w:p>
      <w:pPr>
        <w:spacing w:after="160" w:line="276"/>
      </w:pPr>
      <w:r>
        <w:rPr>
          <w:b/>
          <w:bCs/>
          <w:i/>
          <w:iCs/>
          <w:sz w:val="18"/>
          <w:szCs w:val="18"/>
        </w:rPr>
        <w:t xml:space="preserve">Provenance. </w:t>
      </w:r>
      <w:r>
        <w:rPr>
          <w:i/>
          <w:iCs/>
          <w:sz w:val="18"/>
          <w:szCs w:val="18"/>
        </w:rPr>
        <w:t xml:space="preserve">Every quantitative claim is transcribed from a committed report (REPORT_BORROWING_PILOT{,2,3,4}.md; REPORT_BORROWING_REPLICATION.md; borrowing/replication/REPORT_BORROWING_MULTISPECIALTY.md; borrowing/bcg/REPORT_BORROWING_BCG.md) and the result artifacts they were built from (pilot_bootstrap.json, pilot_scramble_bootstrap.json, sim_gate_results.json, real_glp1_summary.json, pilot3_loo_summary.json, sim_transport_results.json, probe_transport_summary.json, class_lambda.json, trials.json, probe_trials.json; replication/loo_results_v2.json, replication/multispecialty_loo.json; bcg/bcg_loo.json, bcg/bcg_trials.json; and for the registry-scale field REPORT_BORROWING_FIELD.md with borrowing/field_scale/benchmark_learned_results.json, the two-vendor external confirmation xverify_codex_seatA/ + xverify_fable/*.json, the transport expansion REPORT_BORROWING_EXPANSION.md with rota/bcg/raudenbush *_loo.json and agg/consolidate3_results.json, and the companion dose-response thread REPORT_DOSERESPONSE.md with doseresponse/{dr_emax_bakeoff,stage4_doselink}_result.*). Values that exist only as summary statistics inside a report narrative are marked [report table]; all others are exact from the named artifact. No number here is computed fresh for this document; figures are regenerated from committed results by manuscript/make_borrowing_figures.py, which computes no new estimates. Branch methods-borrowing, F:\ubcma\borrowing.</w:t>
      </w:r>
    </w:p>
    <w:p>
      <w:pPr>
        <w:pStyle w:val="Heading1"/>
      </w:pPr>
      <w:r>
        <w:t xml:space="preserve">Abstract</w:t>
      </w:r>
    </w:p>
    <w:p>
      <w:pPr>
        <w:spacing w:after="120" w:line="276"/>
      </w:pPr>
      <w:r>
        <w:rPr>
          <w:b/>
          <w:bCs/>
        </w:rPr>
        <w:t xml:space="preserve">Background. </w:t>
      </w:r>
      <w:r>
        <w:t xml:space="preserve">Meta-analysis of a sparsely-studied treatment comparison routinely leaves borrowable information unused: a registry holds dozens of related trials whose effects, weighted by how relevant and how trustworthy they are, could sharpen the target estimate. The hazard is equally well known — borrow from sources that look similar but are not, and you import bias precisely where the target is most distinctive.</w:t>
      </w:r>
    </w:p>
    <w:p>
      <w:pPr>
        <w:spacing w:after="120" w:line="276"/>
      </w:pPr>
      <w:r>
        <w:rPr>
          <w:b/>
          <w:bCs/>
        </w:rPr>
        <w:t xml:space="preserve">Methods. </w:t>
      </w:r>
      <w:r>
        <w:t xml:space="preserve">We specify an auditable borrowing field — each source trial weighted by a covariate-relevance kernel × a registry selection-integrity ratio × precision — fused with the target's own evidence by conflict-discounted precision fusion under an a-priori stand-down, and subject it to a deliberately destructive, non-circular test: leave-one-trial-out (LOO) prediction of real held-out effects on real ClinicalTrials.gov (AACT) data, scored through a matched-coverage efficiency gate with paired-bootstrap inference. Three pre-registered pilots run on a Type-2-diabetes HbA1c slice.</w:t>
      </w:r>
    </w:p>
    <w:p>
      <w:pPr>
        <w:spacing w:after="120" w:line="276"/>
      </w:pPr>
      <w:r>
        <w:rPr>
          <w:b/>
          <w:bCs/>
        </w:rPr>
        <w:t xml:space="preserve">Results. </w:t>
      </w:r>
      <w:r>
        <w:t xml:space="preserve">(1) On a slice whose covariates do not predict effect heterogeneity, the borrowing field is inert — it collapses to generic shrink-to-the-mean (indistinguishable from a no-relevance null and a scrambled-relevance null) and robustly harms the data-rich outlier class (ΔMCIW0 = +0.256 [+0.185, +0.303] vs standard NMA). (2) On a slice with a genuine measured modifier — GLP1 dose (slope −0.092 %HbA1c/mg, permutation p = 0.01, R² = 0.94, n = 12) — relevance-weighted borrowing beats both nulls on real held-out effects (rel − uniform and rel − scrambled mean-absolute-error advantages with paired-bootstrap CIs excluding 0), is inert at β = 0 (reproducing pilot 1), and — once the own⊕prior fusion is switched from a 2-member AdaptShrink panel to conflict-discounted precision fusion — never harms (the outlier harm falls +0.175 → +0.002, n.s.). (3) Adding a population transportability layer (World Bank obesity, real recruiting countries) does not beat relevance-only on this slice (Δ = +0.022 [−0.037, +0.082], n.s.), because the population covariate carries no signal after drug class (class-adjusted slope −0.002, p = 0.97; a Simpson reversal). A calibrated simulation with the same real trial structure but a tunable modifier shows the transport machinery is correct — inert at β = 0 and target = pool, reproducing the real null at β = 0.006, and beating relevance-only monotonically once β ≳ 0.02.</w:t>
      </w:r>
    </w:p>
    <w:p>
      <w:pPr>
        <w:spacing w:after="120" w:line="276"/>
      </w:pPr>
      <w:r>
        <w:rPr>
          <w:b/>
          <w:bCs/>
        </w:rPr>
        <w:t xml:space="preserve">Replication and extension. </w:t>
      </w:r>
      <w:r>
        <w:t xml:space="preserve">The relevance win reproduces on a second independent GLP1-class slice (a different outcome and a different modifier type) and then, pooling five clean qualifiers across three specialties (endocrine/metabolic, education, oncology), tightens to a robustly significant scale-free MAE reduction of −10.9% [−20.2%, −1.5%] versus the no-relevance null and −12.4% [−22.8%, −2.0%] versus scrambled. On dat.bcg — 13 placebo-controlled BCG-vaccine trials where absolute latitude is a genuinely strong effect modifier (metafor REML permutation p = 0.0052) — the full transportability-standardised method robustly beats textbook random-effects pooling on real held-out log risk ratios (transport − NMA −0.198 [−0.344, −0.041]), and a target = wrong-population control hurts (+0.187 [+0.017, +0.347]). Growing the strong-modifier base beyond BCG's k = 13 — a second deposited placebo-controlled slice (rotavirus efficacy by under-5 mortality, k = 29) and a cross-domain third (teacher-expectancy by weeks-of-contact, k = 19) — the incremental transport-over-relevance margin strengthens to a scale-free pooled fractional MAE reduction of −9.7% [−17.6%, −0.9%] with the mechanism reproducing across two domains, but remains DIRECTIONAL AND NOT DECISIVELY SETTLED: it fails leave-one-slice-out (dropping any single slice crosses 0) and its 95% prediction interval includes 0, and the domain-matched raw-logRR pool stays on threshold (−0.069 [−0.140, +0.003]). No qualifying fourth population-gradient slice exists in the on-disk public data (a dedicated search confirms it needs a non-headless deposited fetch), so this is reported as strengthened-but-open.</w:t>
      </w:r>
    </w:p>
    <w:p>
      <w:pPr>
        <w:spacing w:after="120" w:line="276"/>
      </w:pPr>
      <w:r>
        <w:rPr>
          <w:b/>
          <w:bCs/>
        </w:rPr>
        <w:t xml:space="preserve">Registry-scale headline. </w:t>
      </w:r>
      <w:r>
        <w:t xml:space="preserve">Scaling from within-slice to a whole registry — 1,177 study nodes from 28 published meta-analyses harmonised via metafor::escalc into three effect families — resolves the central methodological question. Borrowing across meta-analyses with the hand-set relevance kernel does not beat borrowing within a meta-analysis (it is +0.020 worse), but replacing the hand-set gravity with a learned kernel does: a Gaussian process whose four length scales over study covariates (year, log-precision, specialty, meta-analysis) are fit by marginal likelihood beats within-meta-analysis borrowing on real held-out reconstruction by −0.023 mean absolute error [−0.034, −0.012] (paired bootstrap; honest 10-fold refit, hyper-parameters re-optimised per training fold). It is the only method that beats within-MA — modern robust-MAP and hierarchical cross-MA Bayes merely tie it — the win holds in both the mid- and rich-home-MA regimes, a scrambled-label kernel loses (−0.053), and distribution-free conformal calibration (CV+/split-conformal) restores nominal 90% coverage at the tightest interval width of any borrowing method. The headline is confirmed by a two-vendor external quorum — Codex gpt-5.5 (−0.0192 [−0.0306, −0.0077]) and Fable 5 (−0.0214 [−0.0332, −0.0096]), each a from-scratch zero-import re-implementation — alongside two internal engines, all four CIs below 0. The headline also survives expanding the corpus with genuinely new real ClinicalTrials.gov meta-analyses (learned − within −0.0231 on 1,205 nodes) but does not transfer to a cold new meta-analysis with no siblings in training — a precise scope boundary. The hand-set AdaptShrink precision fusion used in the pilots is, honestly, the weakest borrowing rule.</w:t>
      </w:r>
    </w:p>
    <w:p>
      <w:pPr>
        <w:spacing w:after="120" w:line="276"/>
      </w:pPr>
      <w:r>
        <w:rPr>
          <w:b/>
          <w:bCs/>
        </w:rPr>
        <w:t xml:space="preserve">Conclusions. </w:t>
      </w:r>
      <w:r>
        <w:t xml:space="preserve">Registry-scale borrowing with a learned relevance kernel and conformal calibration is a real improvement over within-meta-analysis borrowing — the primary contribution — while the hand-set relevance field is inert-to-harmful and is reported as the weaker starting instantiation. At the within-slice level, relevance-weighted borrowing remains a validated contribution exactly to the degree a measured covariate predicts the effect, with provable inertia when no such covariate exists (the central honesty result, not a failure); population transportability is a correct extension validated against the textbook baseline on real strong-modifier (BCG) data. The unifying lesson is that cross-study borrowing earns its keep in proportion to how much relevance structure the data actually contain — and that structure is best measured by a learned metric, not assumed.</w:t>
      </w:r>
    </w:p>
    <w:p>
      <w:pPr>
        <w:spacing w:after="120" w:line="276"/>
      </w:pPr>
      <w:r>
        <w:rPr>
          <w:b/>
          <w:bCs/>
        </w:rPr>
        <w:t xml:space="preserve">Keywords: </w:t>
      </w:r>
      <w:r>
        <w:t xml:space="preserve">evidence borrowing; informative priors; transportability; publication/selection bias; matched-coverage efficiency; leave-one-out validation; registry meta-analysis; reproducibility.</w:t>
      </w:r>
    </w:p>
    <w:p>
      <w:r>
        <w:br w:type="page"/>
      </w:r>
    </w:p>
    <w:p>
      <w:pPr>
        <w:pStyle w:val="Heading1"/>
      </w:pPr>
      <w:r>
        <w:t xml:space="preserve">1. Background and objective</w:t>
      </w:r>
    </w:p>
    <w:p>
      <w:pPr>
        <w:spacing w:after="120" w:line="276"/>
      </w:pPr>
      <w:r>
        <w:t xml:space="preserve">Borrowing strength across studies — power priors, commensurate priors, meta-analytic-predictive (MAP) priors, robust mixture priors — is well developed for designed borrowing, where there is a defined historical control or a known prior study. What is missing is a principled, auditable way to borrow from an entire registry at once, where the relevance of each source is uncertain and where registry trials differ in trustworthiness through selective reporting and non-posting. The hazard is well known: borrow from sources that look similar but are not, and bias is imported precisely where the target is most distinctive.</w:t>
      </w:r>
    </w:p>
    <w:p>
      <w:pPr>
        <w:spacing w:after="120" w:line="276"/>
      </w:pPr>
      <w:r>
        <w:t xml:space="preserve">This report asks one falsifiable question and refuses to answer it with a simulation alone: does forming a borrowing prior from a registry field — each source weighted by relevance × selection-integrity × precision, fused with an explicit stand-down — beat standard meta-analysis on real held-out effects, with maintained calibration, and is any benefit attributable to the relevance structure rather than to generic shrinkage? We answer it three times, on progressively more demanding slices, with negative controls designed to kill the thesis if it is hollow.</w:t>
      </w:r>
    </w:p>
    <w:p>
      <w:pPr>
        <w:pStyle w:val="Heading1"/>
      </w:pPr>
      <w:r>
        <w:t xml:space="preserve">2. Methods</w:t>
      </w:r>
    </w:p>
    <w:p>
      <w:pPr>
        <w:pStyle w:val="Heading2"/>
      </w:pPr>
      <w:r>
        <w:t xml:space="preserve">2.1 The borrowing field</w:t>
      </w:r>
    </w:p>
    <w:p>
      <w:pPr>
        <w:spacing w:after="120" w:line="276"/>
      </w:pPr>
      <w:r>
        <w:t xml:space="preserve">For a target comparison t with sparse direct evidence, every other trial s in the registry slice contributes to a borrowing prior with weight w</w:t>
      </w:r>
      <w:r>
        <w:rPr>
          <w:vertAlign w:val="subscript"/>
        </w:rPr>
        <w:t xml:space="preserve">s</w:t>
      </w:r>
      <w:r>
        <w:t xml:space="preserve"> = relevance(x</w:t>
      </w:r>
      <w:r>
        <w:rPr>
          <w:vertAlign w:val="subscript"/>
        </w:rPr>
        <w:t xml:space="preserve">s</w:t>
      </w:r>
      <w:r>
        <w:t xml:space="preserve">, x</w:t>
      </w:r>
      <w:r>
        <w:rPr>
          <w:vertAlign w:val="subscript"/>
        </w:rPr>
        <w:t xml:space="preserve">t</w:t>
      </w:r>
      <w:r>
        <w:t xml:space="preserve">) × λ</w:t>
      </w:r>
      <w:r>
        <w:rPr>
          <w:vertAlign w:val="subscript"/>
        </w:rPr>
        <w:t xml:space="preserve">s</w:t>
      </w:r>
      <w:r>
        <w:t xml:space="preserve"> × precision</w:t>
      </w:r>
      <w:r>
        <w:rPr>
          <w:vertAlign w:val="subscript"/>
        </w:rPr>
        <w:t xml:space="preserve">s</w:t>
      </w:r>
      <w:r>
        <w:t xml:space="preserve">. Relevance is a Gaussian kernel on covariate distance, exp(−‖x</w:t>
      </w:r>
      <w:r>
        <w:rPr>
          <w:vertAlign w:val="subscript"/>
        </w:rPr>
        <w:t xml:space="preserve">s</w:t>
      </w:r>
      <w:r>
        <w:t xml:space="preserve"> − x</w:t>
      </w:r>
      <w:r>
        <w:rPr>
          <w:vertAlign w:val="subscript"/>
        </w:rPr>
        <w:t xml:space="preserve">t</w:t>
      </w:r>
      <w:r>
        <w:t xml:space="preserve">‖² / 2h²); in the flat-covariate pilot the covariates are mechanism class + baseline HbA1c, and in the modifier-bearing pilot it is a one-dimensional kernel on GLP1 dose with bandwidth fixed a priori at the dose SD (4.54 mg). Selection-integrity λ is a GWAM-style registry-linkage ratio (results-posted ÷ registered) per source class, fixed before scoring (committed values: GLP1 0.360, DPP4 0.481, SGLT2 0.338, metformin 0.400, SU 0.467, TZD 0.421, insulin 0.362). Precision is the inverse sampling variance of the source effect. The weighted field collapses to a single prior (mean, variance) by precision-weighted pooling at the field's between-trial variance.</w:t>
      </w:r>
    </w:p>
    <w:p>
      <w:pPr>
        <w:pStyle w:val="Heading2"/>
      </w:pPr>
      <w:r>
        <w:t xml:space="preserve">2.2 Conflict-discounted precision fusion (own ⊕ prior)</w:t>
      </w:r>
    </w:p>
    <w:p>
      <w:pPr>
        <w:spacing w:after="120" w:line="276"/>
      </w:pPr>
      <w:r>
        <w:t xml:space="preserve">The target's own REML-pooled estimate is fused with the borrowing prior by a power-prior-style precision fusion: the prior contributes effective precision δ / se₀², where δ ∈ (0, 1] is the conflict discount of §2.3. A precise own-estimate therefore dominates automatically. This replaces the 2-member AdaptShrink panel used in pilot 1. AdaptShrink — the program's bias-corrected shrinkage estimator — is correct for ≥3-member panels (its design case), but its weight 1/(se² + (μ − median)²) adds the same disagreement term to both members of a 2-member own⊕prior fusion, so a confidently-wrong prior retains ~16–19% weight no matter how precise the own data is. Diagnosing this as the true source of pilot 1's rich-regime harm, and switching to precision fusion, is one of the report's substantive findings (§4.4).</w:t>
      </w:r>
    </w:p>
    <w:p>
      <w:pPr>
        <w:pStyle w:val="Heading2"/>
      </w:pPr>
      <w:r>
        <w:t xml:space="preserve">2.3 A-priori stand-down (prior-data conflict)</w:t>
      </w:r>
    </w:p>
    <w:p>
      <w:pPr>
        <w:spacing w:after="120" w:line="276"/>
      </w:pPr>
      <w:r>
        <w:t xml:space="preserve">Conflict is measured by Q = (μ₀ − μ_p)² / (se₀² + se_p²), prior versus the target's own pooled estimate. The discount is δ = exp(−η · max(0, Q − c₀)) with non-tuned, pre-fixed η = 0.5 and c₀ = 1; a hardened variant caps borrowing past Q_MAX = 4 (≈ 2σ). Constants were fixed before any scoring and were not retuned to rescue any cell. Under conflict the prior's effective precision is withdrawn and the estimate falls back toward no-borrowing with a widened interval.</w:t>
      </w:r>
    </w:p>
    <w:p>
      <w:pPr>
        <w:pStyle w:val="Heading2"/>
      </w:pPr>
      <w:r>
        <w:t xml:space="preserve">2.4 The evaluation gate, and why LOO is the non-circular anchor</w:t>
      </w:r>
    </w:p>
    <w:p>
      <w:pPr>
        <w:spacing w:after="120" w:line="276"/>
      </w:pPr>
      <w:r>
        <w:rPr>
          <w:b/>
          <w:bCs/>
        </w:rPr>
        <w:t xml:space="preserve">Matched-coverage efficiency (MCIW0). </w:t>
      </w:r>
      <w:r>
        <w:t xml:space="preserve">Methods are paired within a subsample; coverage is equalised by construction and interval widths are then compared (lower = narrower = better at equal coverage). The advantage over the no-borrow baseline is tested by paired bootstrap (2000 resamples); a robust win/harm requires the entire 95% CI on one side of 0. This is the same gate as truth-recovery/matched_coverage_bakeoff.py.</w:t>
      </w:r>
    </w:p>
    <w:p>
      <w:pPr>
        <w:spacing w:after="120" w:line="276"/>
      </w:pPr>
      <w:r>
        <w:rPr>
          <w:b/>
          <w:bCs/>
        </w:rPr>
        <w:t xml:space="preserve">Leave-one-trial-out (LOO) on real effects — the anchor. </w:t>
      </w:r>
      <w:r>
        <w:t xml:space="preserve">Each held-out trial's real effect is the truth; the prior is built from all other trials; error is measured against that real held-out value. This is non-circular: nothing about a held-out effect informs its own prediction, so a win cannot be an artifact of a simulation's data-generating process. Calibrated simulations are used only to supply known-truth boundary maps (the inert corner, the β-sweep) that real data cannot label.</w:t>
      </w:r>
    </w:p>
    <w:p>
      <w:pPr>
        <w:spacing w:after="120" w:line="276"/>
      </w:pPr>
      <w:r>
        <w:t xml:space="preserve">A standard random-effects / network meta-analysis (NMA) is the no-borrow comparator. It is not a strawman: in this star-shaped field the netmeta treatment effect for a spoke equals the inverse-variance pool of that spoke's direct trials (difference 8.9 × 10⁻¹⁶), i.e. standard NMA gets no indirect information to a spoke — precisely the structural gap borrowing is meant to exploit.</w:t>
      </w:r>
    </w:p>
    <w:p>
      <w:pPr>
        <w:pStyle w:val="Heading2"/>
      </w:pPr>
      <w:r>
        <w:t xml:space="preserve">2.5 Data</w:t>
      </w:r>
    </w:p>
    <w:p>
      <w:pPr>
        <w:spacing w:after="120" w:line="276"/>
      </w:pPr>
      <w:r>
        <w:t xml:space="preserve">Slice: AACT snapshot 2026-04-12; Type-2 diabetes, HbA1c-change mean differences vs placebo, extracted from outcome_analyses (reported between-group estimates with CIs → SE), classified by intervention keyword, with provenance (nct_id, analysis_id) per row: 5,041 T2DM trials → 4,078 HbA1c outcomes → 488 reported mean-difference analyses (478 sane) → 100 active-vs-placebo effects → 46 independent trial-level effects (Table 1). The three well-populated truths genuinely differ — GLP1 (−1.17) is far stronger than DPP4/SGLT2 (≈ −0.5) — giving the slice built-in kill-potential: borrowing should help the close classes but is a stand-down trap for the outlier. For pilot 3, AACT recruiting countries per trial (38/46 have country data; 12 single-country: US ×5, Japan ×4, China ×2, India ×1) are joined to World Bank adult obesity prevalence (SH.STA.OB18, BMI &gt; 30, 18+) as a population effect-modifier axis (US 36.2%, UK 27.8% vs Japan 4.2%, China 6.2%, India 3.9%). The children-under-5 overweight series (SH.STA.OWGH.ZS) was rejected after returning an implausible US value of 9.5%.</w:t>
      </w:r>
    </w:p>
    <w:p>
      <w:pPr>
        <w:spacing w:after="120"/>
      </w:pPr>
      <w:r>
        <w:rPr>
          <w:b/>
          <w:bCs/>
          <w:sz w:val="18"/>
          <w:szCs w:val="18"/>
        </w:rPr>
        <w:t xml:space="preserve">Table 1. </w:t>
      </w:r>
      <w:r>
        <w:rPr>
          <w:sz w:val="18"/>
          <w:szCs w:val="18"/>
        </w:rPr>
        <w:t xml:space="preserve">The AACT T2DM HbA1c slice. k trials and λ are exact (trials.json, class_lambda.json); REML μ* are the committed random-effects pools [report table, §2 of PILOT1].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2400"/>
        <w:gridCol w:w="2360"/>
        <w:gridCol w:w="1800"/>
      </w:tblGrid>
      <w:tr>
        <w:trPr>
          <w:tblHeader/>
        </w:trPr>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class</w:t>
            </w:r>
          </w:p>
        </w:tc>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k trials</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REML μ* (HbA1c %)</w:t>
            </w:r>
          </w:p>
        </w:tc>
        <w:tc>
          <w:tcPr>
            <w:tcW w:type="dxa" w:w="2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selection-integrity λ</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role</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GLP1</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17</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−1.172</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0.360</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target (outlier)</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DPP4</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14</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−0.606</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0.481</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target</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SGLT2</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−0.522</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target</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TZD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−0.681</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0.421</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source only</w:t>
            </w:r>
          </w:p>
        </w:tc>
      </w:tr>
      <w:tr>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insulin</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−0.970</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0.362</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source only</w:t>
            </w:r>
          </w:p>
        </w:tc>
      </w:tr>
    </w:tbl>
    <w:p>
      <w:pPr>
        <w:spacing w:after="160" w:line="276"/>
      </w:pPr>
      <w:r>
        <w:t xml:space="preserve"/>
      </w:r>
    </w:p>
    <w:p>
      <w:pPr>
        <w:pStyle w:val="Heading1"/>
      </w:pPr>
      <w:r>
        <w:t xml:space="preserve">3. Pilot 1 — the inertia boundary (the central honesty result)</w:t>
      </w:r>
    </w:p>
    <w:p>
      <w:pPr>
        <w:spacing w:after="120" w:line="276"/>
      </w:pPr>
      <w:r>
        <w:t xml:space="preserve">On the base slice, whose covariates are near-uniform (baseline HbA1c ≈ 7.5–8.8%; only three effective classes, two with similar truths), the borrowing field fails the decisive test. Two of four binding requirements fail (Table 2).</w:t>
      </w:r>
    </w:p>
    <w:p>
      <w:pPr>
        <w:spacing w:after="120" w:line="276"/>
      </w:pPr>
      <w:r>
        <w:rPr>
          <w:b/>
          <w:bCs/>
        </w:rPr>
        <w:t xml:space="preserve">(b) “No worse in the data-rich regime” fails. </w:t>
      </w:r>
      <w:r>
        <w:t xml:space="preserve">Borrowing robustly harms the outlier class (GLP1) in the rich regime: ΔMCIW0 = +0.2556 [+0.1846, +0.3029] vs NMA, the entire 95% CI &gt; 0 (pilot_bootstrap.json). The stand-down detects the conflict (mean δ falls to ≈ 0.20) but the residual ~20% weight on a confidently-wrong prior — the sources mutually agree with each other, not with GLP1 — inflates both bias and width.</w:t>
      </w:r>
    </w:p>
    <w:p>
      <w:pPr>
        <w:spacing w:after="120" w:line="276"/>
      </w:pPr>
      <w:r>
        <w:rPr>
          <w:b/>
          <w:bCs/>
        </w:rPr>
        <w:t xml:space="preserve">(d) Negative controls fail. </w:t>
      </w:r>
      <w:r>
        <w:t xml:space="preserve">The one sparse-regime win (DPP4, ΔMCIW0 = −0.0387 [−0.0904, −0.0138]) is reproduced by a no-relevance null (shrink toward the precision-weighted field mean; relevance ≡ 1, λ ≡ 1): the null's DPP4-sparse advantage is −0.0731 [−0.1514, −0.0368] and its GLP1-rich harm is +0.2855 [+0.2071, +0.3295] — the null reproduces both the win and the harm. Isolating the gravity directly, borrow versus the null is within |ΔMCIW0| &lt; 0.04 in every one of the six cells (largest 0.034, of inconsistent sign), against the 0.04–0.26 borrow-vs-NMA effects. Scrambling the relevance map changes essentially nothing (pilot_scramble_bootstrap.json): DPP4-sparse −0.0436 [−0.0597, +0.0017], GLP1-rich harm +0.2338 [+0.168, +0.311] both persist.</w:t>
      </w:r>
    </w:p>
    <w:p>
      <w:pPr>
        <w:spacing w:after="120" w:line="276"/>
      </w:pPr>
      <w:r>
        <w:t xml:space="preserve">Reading: what helps on this slice is plain field-mean shrinkage; the relevance × integrity machinery — the actual thesis — is near-inert. The benefit cannot be distinguished from the null, does not depend on the relevance weighting, and the same mechanism robustly harms the data-rich outlier. Per the program's truth-first logic this is a negative result on the decisive question, and we do not proceed to a transportability layer on this evidence. Critically, the pilot localises why: the slice carried no learnable relevance signal for the kernel to grip (Figure 1).</w:t>
      </w:r>
    </w:p>
    <w:p>
      <w:pPr>
        <w:spacing w:after="120"/>
      </w:pPr>
      <w:r>
        <w:rPr>
          <w:b/>
          <w:bCs/>
          <w:sz w:val="18"/>
          <w:szCs w:val="18"/>
        </w:rPr>
        <w:t xml:space="preserve">Table 2. </w:t>
      </w:r>
      <w:r>
        <w:rPr>
          <w:sz w:val="18"/>
          <w:szCs w:val="18"/>
        </w:rPr>
        <w:t xml:space="preserve">Pilot-1 verdict against the four binding requirements, with the decisive headline cells (paired-bootstrap ΔMCIW0 vs standard NMA; exact from pilot_bootstrap.json / pilot_scramble_bootstrap.json).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5900"/>
      </w:tblGrid>
      <w:tr>
        <w:trPr>
          <w:tblHeader/>
        </w:trPr>
        <w:tc>
          <w:tcPr>
            <w:tcW w:type="dxa" w:w="5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w:t>
            </w:r>
          </w:p>
        </w:tc>
        <w:tc>
          <w:tcPr>
            <w:tcW w:type="dxa" w:w="2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requirement</w:t>
            </w:r>
          </w:p>
        </w:tc>
        <w:tc>
          <w:tcPr>
            <w:tcW w:type="dxa" w:w="5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result</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(a)</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beat NMA in the sparse regime</w:t>
            </w:r>
          </w:p>
        </w:tc>
        <w:tc>
          <w:tcPr>
            <w:tcW w:type="dxa" w:w="5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PARTIAL — DPP4 robust win (−0.0387 [−0.0904, −0.0138]); SGLT2 &amp; GLP1 favourable but not bootstrap-robust</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(b)</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 worse in the rich regime</w:t>
            </w:r>
          </w:p>
        </w:tc>
        <w:tc>
          <w:tcPr>
            <w:tcW w:type="dxa" w:w="59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FAIL — GLP1 robustly harmed (+0.2556 [+0.1846, +0.3029], CI entirely &gt; 0)</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calibrated coverage in both</w:t>
            </w:r>
          </w:p>
        </w:tc>
        <w:tc>
          <w:tcPr>
            <w:tcW w:type="dxa" w:w="5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PARTIAL — maintained for DPP4/SGLT2; GLP1-sparse under-covers, but so does NMA (shared high-τ problem)</w:t>
            </w:r>
          </w:p>
        </w:tc>
      </w:tr>
      <w:tr>
        <w:tc>
          <w:tcPr>
            <w:tcW w:type="dxa" w:w="5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pass negative controls</w:t>
            </w:r>
          </w:p>
        </w:tc>
        <w:tc>
          <w:tcPr>
            <w:tcW w:type="dxa" w:w="59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FAIL — no-relevance null reproduces win (−0.0731) and harm (+0.2855); scrambling preserves both; borrow vs null |Δ| &lt; 0.04 everywhere</w:t>
            </w:r>
          </w:p>
        </w:tc>
      </w:tr>
    </w:tbl>
    <w:p>
      <w:pPr>
        <w:spacing w:after="120" w:line="276"/>
      </w:pPr>
      <w:r>
        <w:t xml:space="preserve"/>
      </w:r>
    </w:p>
    <w:p>
      <w:pPr>
        <w:spacing w:after="60" w:before="120"/>
        <w:jc w:val="center"/>
      </w:pPr>
      <w:r>
        <w:drawing>
          <wp:inline distT="0" distB="0" distL="0" distR="0">
            <wp:extent cx="6096000" cy="2638425"/>
            <wp:effectExtent t="0" r="0" b="0" l="0"/>
            <wp:docPr id="1" name="fig1_pilot1_inertia.png" descr="Figure 1. Pilot 1 (flat-covariate slice). A: borrowing field vs standard NMA across the six target×regime cells — one robust win (DPP4-sparse), one robust harm (GLP1-rich outlier). B: the gravity-isolation diagnostic — borrow vs the no-relevance null is within |ΔMCIW0| &lt; 0.04 in every cell, so the relevance gravity is near-inert. Source: pilot_bootstrap.json." title="Figure 1. Pilot 1 (flat-covariate slice). A: borrowing field vs standard NMA across the six target×regime cells — one robust win (DPP4-sparse), one robust harm (GLP1-rich outlier). B: the gravity-isolation diagnostic — borrow vs the no-relevance null is within |ΔMCIW0| &lt; 0.04 in every cell, so the relevance gravity is near-inert. Source: pilot_bootstrap.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638425"/>
                    </a:xfrm>
                    <a:prstGeom prst="rect">
                      <a:avLst/>
                    </a:prstGeom>
                  </pic:spPr>
                </pic:pic>
              </a:graphicData>
            </a:graphic>
          </wp:inline>
        </w:drawing>
      </w:r>
    </w:p>
    <w:p>
      <w:pPr>
        <w:spacing w:after="160"/>
        <w:jc w:val="center"/>
      </w:pPr>
      <w:r>
        <w:rPr>
          <w:i/>
          <w:iCs/>
          <w:sz w:val="17"/>
          <w:szCs w:val="17"/>
        </w:rPr>
        <w:t xml:space="preserve">Figure 1. Pilot 1 (flat-covariate slice). A: borrowing field vs standard NMA across the six target×regime cells — one robust win (DPP4-sparse), one robust harm (GLP1-rich outlier). B: the gravity-isolation diagnostic — borrow vs the no-relevance null is within |ΔMCIW0| &lt; 0.04 in every cell, so the relevance gravity is near-inert. Source: pilot_bootstrap.json.</w:t>
      </w:r>
    </w:p>
    <w:p>
      <w:pPr>
        <w:pStyle w:val="Heading1"/>
      </w:pPr>
      <w:r>
        <w:t xml:space="preserve">4. Pilot 2 — relevance is real when a covariate predicts heterogeneity</w:t>
      </w:r>
    </w:p>
    <w:p>
      <w:pPr>
        <w:pStyle w:val="Heading2"/>
      </w:pPr>
      <w:r>
        <w:t xml:space="preserve">4.1 A fair slice with a genuine modifier</w:t>
      </w:r>
    </w:p>
    <w:p>
      <w:pPr>
        <w:spacing w:after="120" w:line="276"/>
      </w:pPr>
      <w:r>
        <w:t xml:space="preserve">We searched the slice for a covariate that does predict effect heterogeneity (probe_modifier.py) and found GLP1 dose within class: slope −0.0922 %HbA1c/mg [−0.1142, −0.0703], permutation p = 0.01, R² = 0.94, n = 12, with conditional τ² falling from 0.289 to 0.018 once dose is in the model (real_glp1_summary.json). The modifier is confirmed three independent ways (RE meta-regression OLS z = −5.5, WLS z = −19.5; a separate DL meta-regression slope −0.093). The only change to the machinery is the relevance kernel (now on dose distance); the stand-down, fusion, and gate are unchanged.</w:t>
      </w:r>
    </w:p>
    <w:p>
      <w:pPr>
        <w:spacing w:after="120" w:line="276"/>
      </w:pPr>
      <w:r>
        <w:rPr>
          <w:b/>
          <w:bCs/>
          <w:i/>
          <w:iCs/>
        </w:rPr>
        <w:t xml:space="preserve">Honesty note (carried from the pilot). </w:t>
      </w:r>
      <w:r>
        <w:rPr>
          <w:i/>
          <w:iCs/>
        </w:rPr>
        <w:t xml:space="preserve">Raw “mg” partly encodes drug identity/potency across GLP1 molecules (semaglutide ~1 mg → tirzepatide ~14 mg), and the mcg-dosed exenatide/lixisenatide are excluded as a different potency scale. The covariate is a real, strong predictor of effect — which is all relevance-weighting requires — not a clean pharmacological dose axis.</w:t>
      </w:r>
    </w:p>
    <w:p>
      <w:pPr>
        <w:pStyle w:val="Heading2"/>
      </w:pPr>
      <w:r>
        <w:t xml:space="preserve">4.2 Real held-out test — relevance beats both nulls</w:t>
      </w:r>
    </w:p>
    <w:p>
      <w:pPr>
        <w:spacing w:after="120" w:line="276"/>
      </w:pPr>
      <w:r>
        <w:t xml:space="preserve">LOO pure-prior prediction on the real GLP1 dose field, truth = the real held-out effect. Relevance wins at every bandwidth, against both nulls, all CIs &lt; 0 (Table 3) — the exact opposite of pilot 1, where the nulls reproduced everything. A from-scratch re-derivation with no shared code (selfverify2.py) agrees: rel − uniform −0.18 [−0.31, −0.03], rel − scrambled −0.28 [−0.40, −0.15].</w:t>
      </w:r>
    </w:p>
    <w:p>
      <w:pPr>
        <w:spacing w:after="120"/>
      </w:pPr>
      <w:r>
        <w:rPr>
          <w:b/>
          <w:bCs/>
          <w:sz w:val="18"/>
          <w:szCs w:val="18"/>
        </w:rPr>
        <w:t xml:space="preserve">Table 3. </w:t>
      </w:r>
      <w:r>
        <w:rPr>
          <w:sz w:val="18"/>
          <w:szCs w:val="18"/>
        </w:rPr>
        <w:t xml:space="preserve">Pilot-2 real LOO: mean absolute error against real held-out GLP1 effects, by relevance-kernel bandwidth [report table, §3a of PILOT2]. CIs are paired bootstrap; bandwidth 4.54 mg = the a-priori dose-SD setting.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400"/>
        <w:gridCol w:w="1500"/>
        <w:gridCol w:w="2030"/>
        <w:gridCol w:w="203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bw (mg)</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relevance MAE</w:t>
            </w:r>
          </w:p>
        </w:tc>
        <w:tc>
          <w:tcPr>
            <w:tcW w:type="dxa" w:w="1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uniform MAE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scrambled MAE</w:t>
            </w:r>
          </w:p>
        </w:tc>
        <w:tc>
          <w:tcPr>
            <w:tcW w:type="dxa" w:w="20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rel − uniform [95% CI]</w:t>
            </w:r>
          </w:p>
        </w:tc>
        <w:tc>
          <w:tcPr>
            <w:tcW w:type="dxa" w:w="203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rel − scrambled [95% CI]</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2.27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0.245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0.449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0.542</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−0.204 [−0.382, −0.007]</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−0.297 [−0.513, −0.073]</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4.54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0.269</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0.449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0.490</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−0.180 [−0.306, −0.034]</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−0.222 [−0.371, −0.056]</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6.81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0.340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0.449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0.464</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−0.109 [−0.181, −0.028]</w:t>
            </w:r>
          </w:p>
        </w:tc>
        <w:tc>
          <w:tcPr>
            <w:tcW w:type="dxa" w:w="203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−0.124 [−0.206, −0.034]</w:t>
            </w:r>
          </w:p>
        </w:tc>
      </w:tr>
    </w:tbl>
    <w:p>
      <w:pPr>
        <w:spacing w:after="120" w:line="276"/>
      </w:pPr>
      <w:r>
        <w:t xml:space="preserve"/>
      </w:r>
    </w:p>
    <w:p>
      <w:pPr>
        <w:spacing w:after="60" w:before="120"/>
        <w:jc w:val="center"/>
      </w:pPr>
      <w:r>
        <w:drawing>
          <wp:inline distT="0" distB="0" distL="0" distR="0">
            <wp:extent cx="6096000" cy="2352675"/>
            <wp:effectExtent t="0" r="0" b="0" l="0"/>
            <wp:docPr id="1" name="fig2_pilot2_relevance.png" descr="Figure 2. Pilot 2 (GLP1-dose slice). A: the real GLP1 dose-response (n = 12) — a strong, real effect modifier (slope −0.092, perm p = 0.01, R² = 0.94). B: the calibrated-simulation boundary map — relevance vs both nulls (off-centre, sparse) is inert at β = 0 (reproducing pilot 1) and robustly beats both nulls at the real β. Sources: probe_trials.json, real_glp1_summary.json, sim_gate_results.json." title="Figure 2. Pilot 2 (GLP1-dose slice). A: the real GLP1 dose-response (n = 12) — a strong, real effect modifier (slope −0.092, perm p = 0.01, R² = 0.94). B: the calibrated-simulation boundary map — relevance vs both nulls (off-centre, sparse) is inert at β = 0 (reproducing pilot 1) and robustly beats both nulls at the real β. Sources: probe_trials.json, real_glp1_summary.json, sim_gate_result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352675"/>
                    </a:xfrm>
                    <a:prstGeom prst="rect">
                      <a:avLst/>
                    </a:prstGeom>
                  </pic:spPr>
                </pic:pic>
              </a:graphicData>
            </a:graphic>
          </wp:inline>
        </w:drawing>
      </w:r>
    </w:p>
    <w:p>
      <w:pPr>
        <w:spacing w:after="160"/>
        <w:jc w:val="center"/>
      </w:pPr>
      <w:r>
        <w:rPr>
          <w:i/>
          <w:iCs/>
          <w:sz w:val="17"/>
          <w:szCs w:val="17"/>
        </w:rPr>
        <w:t xml:space="preserve">Figure 2. Pilot 2 (GLP1-dose slice). A: the real GLP1 dose-response (n = 12) — a strong, real effect modifier (slope −0.092, perm p = 0.01, R² = 0.94). B: the calibrated-simulation boundary map — relevance vs both nulls (off-centre, sparse) is inert at β = 0 (reproducing pilot 1) and robustly beats both nulls at the real β. Sources: probe_trials.json, real_glp1_summary.json, sim_gate_results.json.</w:t>
      </w:r>
    </w:p>
    <w:p>
      <w:pPr>
        <w:pStyle w:val="Heading2"/>
      </w:pPr>
      <w:r>
        <w:t xml:space="preserve">4.3 The boundary map — inert at β = 0, wins at the real β</w:t>
      </w:r>
    </w:p>
    <w:p>
      <w:pPr>
        <w:spacing w:after="120" w:line="276"/>
      </w:pPr>
      <w:r>
        <w:t xml:space="preserve">A calibrated simulation (DGP fitted to the measured dose-response: α = −0.76, β = −0.092, residual τ = 0.14, real dose &amp; SE distributions) supplies known truth and lets us sweep the modifier slope (sim_gate_results.json). At β = 0 relevance is n.s. versus both nulls in all six cells — reproducing pilot 1 exactly. At the real β, for off-centre sparse targets, relevance robustly beats both nulls: low/sparse rel − uniform −0.049 W and rel − scrambled −0.050 W; high/sparse −0.025 W and −0.048 W. At center (target = field mean) the covariate correctly adds nothing — shrink-to-mean is already unbiased there; the win is specifically the off-centre value of the gravity. In the rich regime everything ties (own data suffices), which is why no cell harms. The win is caused by the covariate signal, not the machinery.</w:t>
      </w:r>
    </w:p>
    <w:p>
      <w:pPr>
        <w:pStyle w:val="Heading2"/>
      </w:pPr>
      <w:r>
        <w:t xml:space="preserve">4.4 The rich-regime harm — diagnosed and fixed</w:t>
      </w:r>
    </w:p>
    <w:p>
      <w:pPr>
        <w:spacing w:after="120" w:line="276"/>
      </w:pPr>
      <w:r>
        <w:t xml:space="preserve">The pilot-1 harm was not an under-corrected stand-down; it was the 2-member AdaptShrink fusion (§2.2). Isolating each change on a confident-wrong-prior control (target the outlier −1.17, prior the field consensus −0.55, reproducing Q ≈ 4) shows the hard conflict gate alone does not fix the harm (AdaptShrink rich stays +0.162), because the conflict sits at only ≈ 2σ where a wrong prior is hard to distinguish from chance. Conflict-discounted precision fusion eliminates it by letting precise own-data dominate (Table 4). A small, irreducible sparse residual remains (+0.032): with k = 2 you cannot know the prior is wrong — the intrinsic bias–variance cost of borrowing, an order of magnitude below pilot 1's harm.</w:t>
      </w:r>
    </w:p>
    <w:p>
      <w:pPr>
        <w:spacing w:after="120"/>
      </w:pPr>
      <w:r>
        <w:rPr>
          <w:b/>
          <w:bCs/>
          <w:sz w:val="18"/>
          <w:szCs w:val="18"/>
        </w:rPr>
        <w:t xml:space="preserve">Table 4. </w:t>
      </w:r>
      <w:r>
        <w:rPr>
          <w:sz w:val="18"/>
          <w:szCs w:val="18"/>
        </w:rPr>
        <w:t xml:space="preserve">Pilot-2 own⊕prior fusion on a confident-wrong-prior control: ΔMCIW0 vs own (no-borrow), by fusion rule [report table, §3d of PILOT2].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900"/>
        <w:gridCol w:w="2360"/>
        <w:gridCol w:w="2000"/>
      </w:tblGrid>
      <w:tr>
        <w:trPr>
          <w:tblHeader/>
        </w:trPr>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regime</w:t>
            </w:r>
          </w:p>
        </w:tc>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fusion rule</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mean δ</w:t>
            </w:r>
          </w:p>
        </w:tc>
        <w:tc>
          <w:tcPr>
            <w:tcW w:type="dxa" w:w="2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ΔMCIW0 vs own [95% CI]</w:t>
            </w:r>
          </w:p>
        </w:tc>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rich</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AdaptShrink + smooth stand-down (pilot 1)</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+0.175 [+0.165, +0.182]</w:t>
            </w:r>
          </w:p>
        </w:tc>
        <w:tc>
          <w:tcPr>
            <w:tcW w:type="dxa" w:w="20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HARM</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rich</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AdaptShrink + hardened gate</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0.19</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+0.162 [+0.154, +0.172]</w:t>
            </w:r>
          </w:p>
        </w:tc>
        <w:tc>
          <w:tcPr>
            <w:tcW w:type="dxa" w:w="20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HARM (gate barely helps)</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rich</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precision + smooth</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0.24</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+0.002 [−0.001, +0.004]</w:t>
            </w:r>
          </w:p>
        </w:tc>
        <w:tc>
          <w:tcPr>
            <w:tcW w:type="dxa" w:w="20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n.s. — fixed</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rich</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precision + hardened (pilot 2)</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0.19</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+0.000 [−0.001, +0.003]</w:t>
            </w:r>
          </w:p>
        </w:tc>
        <w:tc>
          <w:tcPr>
            <w:tcW w:type="dxa" w:w="20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n.s. — fixed</w:t>
            </w:r>
          </w:p>
        </w:tc>
      </w:tr>
      <w:tr>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sparse</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precision + hardened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0.23</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+0.032 [+0.014, +0.044]</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tiny (~20× &lt; pilot 1)</w:t>
            </w:r>
          </w:p>
        </w:tc>
      </w:tr>
    </w:tbl>
    <w:p>
      <w:pPr>
        <w:spacing w:after="120" w:line="276"/>
      </w:pPr>
      <w:r>
        <w:t xml:space="preserve"/>
      </w:r>
    </w:p>
    <w:p>
      <w:pPr>
        <w:spacing w:after="120" w:line="276"/>
      </w:pPr>
      <w:r>
        <w:rPr>
          <w:b/>
          <w:bCs/>
        </w:rPr>
        <w:t xml:space="preserve">Verdict. </w:t>
      </w:r>
      <w:r>
        <w:t xml:space="preserve">All four binding requirements now pass: beat NMA in sparse (off-centre cells), beat both nulls (real LOO + sim; inert at β = 0 as required), no worse in rich (no harm cell remains anywhere), calibrated coverage / negative controls. Relevance-weighted borrowing is real, exactly to the degree a real, measured covariate predicts the effect.</w:t>
      </w:r>
    </w:p>
    <w:p>
      <w:pPr>
        <w:pStyle w:val="Heading2"/>
      </w:pPr>
      <w:r>
        <w:t xml:space="preserve">4.6 Replication across slices — reproducible phenomenon, bounded at N = 2</w:t>
      </w:r>
    </w:p>
    <w:p>
      <w:pPr>
        <w:spacing w:after="120" w:line="276"/>
      </w:pPr>
      <w:r>
        <w:t xml:space="preserve">To test whether the §4 win is a one-slice artefact, we re-ran the identical five-way LOO gate on 11 condition/outcome/drug-class domains of AACT, admitting a slice only if a within-class continuous modifier passed a pre-registered gate (n ≥ 8, permutation p &lt; 0.05, ≥ 4 unique values, Simpson guard: single-molecule, or within-molecule sign-preserving). Two slices qualified and relevance beat both nulls on both (2/2): the GLP1 dose → HbA1c anchor (reproduced) and a new slice — baseline body-weight → weight loss within GLP1 — replicating on a different outcome (body weight, kg) and a different modifier type (baseline severity, not dose) (Table 5). Relevance was correctly inert on 3/3 real flat slices (e.g. dapagliflozin dose → HbA1c, where SGLT2 dose plateaus: rel − uniform +0.005) — the in-data analogue of the §4.3 β = 0 control — and failed honestly where the modifier was out-of-sample-unreliable: vortioxetine dose → MADRS has R² = 1.00 in-sample but permutation p = 0.61 and loses the LOO (rel − scrambled +0.359), so the permutation gate prevented a false positive.</w:t>
      </w:r>
    </w:p>
    <w:p>
      <w:pPr>
        <w:spacing w:after="120"/>
      </w:pPr>
      <w:r>
        <w:rPr>
          <w:b/>
          <w:bCs/>
          <w:sz w:val="18"/>
          <w:szCs w:val="18"/>
        </w:rPr>
        <w:t xml:space="preserve">Table 5. </w:t>
      </w:r>
      <w:r>
        <w:rPr>
          <w:sz w:val="18"/>
          <w:szCs w:val="18"/>
        </w:rPr>
        <w:t xml:space="preserve">Replication five-way real LOO at the central bandwidth (SD): paired-bootstrap ΔMAE against the two nulls, exact from replication/loo_results_v2.json (REPORT_BORROWING_REPLICATION.md). Both clean slices are GLP1-class.</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100"/>
        <w:gridCol w:w="900"/>
        <w:gridCol w:w="500"/>
        <w:gridCol w:w="2100"/>
        <w:gridCol w:w="2100"/>
        <w:gridCol w:w="1660"/>
      </w:tblGrid>
      <w:tr>
        <w:trPr>
          <w:tblHeader/>
        </w:trPr>
        <w:tc>
          <w:tcPr>
            <w:tcW w:type="dxa" w:w="3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slice (modifier)</w:t>
            </w:r>
          </w:p>
        </w:tc>
        <w:tc>
          <w:tcPr>
            <w:tcW w:type="dxa" w:w="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tier</w:t>
            </w:r>
          </w:p>
        </w:tc>
        <w:tc>
          <w:tcPr>
            <w:tcW w:type="dxa" w:w="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n</w:t>
            </w:r>
          </w:p>
        </w:tc>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rel − uniform [95% CI]</w:t>
            </w:r>
          </w:p>
        </w:tc>
        <w:tc>
          <w:tcPr>
            <w:tcW w:type="dxa" w:w="2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rel − scrambled [95% CI]</w:t>
            </w:r>
          </w:p>
        </w:tc>
        <w:tc>
          <w:tcPr>
            <w:tcW w:type="dxa" w:w="1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beats both?</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GLP1 dose → HbA1c (anchor)</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clean</w:t>
            </w:r>
          </w:p>
        </w:tc>
        <w:tc>
          <w:tcPr>
            <w:tcW w:type="dxa" w:w="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12</w:t>
            </w:r>
          </w:p>
        </w:tc>
        <w:tc>
          <w:tcPr>
            <w:tcW w:type="dxa" w:w="21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−0.180 [−0.305, −0.037]</w:t>
            </w:r>
          </w:p>
        </w:tc>
        <w:tc>
          <w:tcPr>
            <w:tcW w:type="dxa" w:w="21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−0.199 [−0.334, −0.045]</w:t>
            </w:r>
          </w:p>
        </w:tc>
        <w:tc>
          <w:tcPr>
            <w:tcW w:type="dxa" w:w="16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YES</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GLP1 baseline-weight → weight (new)</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clean</w:t>
            </w:r>
          </w:p>
        </w:tc>
        <w:tc>
          <w:tcPr>
            <w:tcW w:type="dxa" w:w="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9</w:t>
            </w:r>
          </w:p>
        </w:tc>
        <w:tc>
          <w:tcPr>
            <w:tcW w:type="dxa" w:w="21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−0.497 [−1.055, −0.099]</w:t>
            </w:r>
          </w:p>
        </w:tc>
        <w:tc>
          <w:tcPr>
            <w:tcW w:type="dxa" w:w="21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−0.599 [−1.250, −0.028]</w:t>
            </w:r>
          </w:p>
        </w:tc>
        <w:tc>
          <w:tcPr>
            <w:tcW w:type="dxa" w:w="16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YES</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dapagliflozin dose → HbA1c</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flat</w:t>
            </w:r>
          </w:p>
        </w:tc>
        <w:tc>
          <w:tcPr>
            <w:tcW w:type="dxa" w:w="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15</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+0.005 [+0.003, +0.008]</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+0.002 [−0.005, +0.010]</w:t>
            </w:r>
          </w:p>
        </w:tc>
        <w:tc>
          <w:tcPr>
            <w:tcW w:type="dxa" w:w="1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 (inert, correct)</w:t>
            </w:r>
          </w:p>
        </w:tc>
      </w:tr>
      <w:tr>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vortioxetine dose → MADRS</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flat*</w:t>
            </w:r>
          </w:p>
        </w:tc>
        <w:tc>
          <w:tcPr>
            <w:tcW w:type="dxa" w:w="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17</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−0.051 [−0.248, +0.059]</w:t>
            </w:r>
          </w:p>
        </w:tc>
        <w:tc>
          <w:tcPr>
            <w:tcW w:type="dxa" w:w="2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+0.359 [+0.056, +0.736]</w:t>
            </w:r>
          </w:p>
        </w:tc>
        <w:tc>
          <w:tcPr>
            <w:tcW w:type="dxa" w:w="1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 (perm-flat, LOO-fail)</w:t>
            </w:r>
          </w:p>
        </w:tc>
      </w:tr>
    </w:tbl>
    <w:p>
      <w:pPr>
        <w:spacing w:after="60" w:line="276"/>
      </w:pPr>
      <w:r>
        <w:t xml:space="preserve"/>
      </w:r>
    </w:p>
    <w:p>
      <w:pPr>
        <w:spacing w:after="120" w:line="276"/>
      </w:pPr>
      <w:r>
        <w:t xml:space="preserve">The scale-free pooled fractional MAE reduction across the two clean slices is −25.8% [−51.2%, −0.4%] versus the scrambled null (robust) and −23.3% [−48.5%, +1.9%] versus the no-relevance null (suggestive; CI marginally crosses 0 at N = 2). The win is no longer single-slice — it reproduces on an independent modifier — but is bounded by only two clean GLP1-class slices. The rate-limiting step for a fully robust, multi-class contribution is a non-GLP1 slice with a clean, permutation-robust within-class modifier; the depression and schizophrenia within-molecule dose signals (real at p &lt; .001 but pooled-masked by Simpson, and lacking ≥ 8 single-molecule placebo-anchored trials) are the leading candidates, likely reachable only via IPD.</w:t>
      </w:r>
    </w:p>
    <w:p>
      <w:pPr>
        <w:pStyle w:val="Heading2"/>
      </w:pPr>
      <w:r>
        <w:t xml:space="preserve">4.7 Cross-specialty replication — N = 5 clean slices across 3 specialties</w:t>
      </w:r>
    </w:p>
    <w:p>
      <w:pPr>
        <w:spacing w:after="120" w:line="276"/>
      </w:pPr>
      <w:r>
        <w:t xml:space="preserve">To break the §4.6 same-class (GLP1) bound, we ran the identical five-way LOO on four new public meta-analytic datasets, each a different specialty with a real within-set continuous modifier (cited as original publications): SAT-coaching hours (Kalaian &amp; Raudenbush 1996, Psychol Methods; k = 65), teacher-expectancy contact weeks (Raudenbush 1984, J Educ Psychol; k = 19), brief-alcohol-intervention age (Tanner-Smith &amp; Lipsey 2015, J Subst Abuse Treat; k = 113), and phase-I dose-toxicity (Ursino et al. 2021; k = 49). Each modifier was verified in-data (WLS slope + 10k-permutation; metafor REML external cross-check on the two escalc-ready slices). Oncology dose-toxicity is a clean new-specialty win: relevance beats both nulls at all bandwidths (rel − uniform −0.119 [−0.174, −0.061]; rel − scrambled −0.141 [−0.206, −0.079]). Teacher-expectancy (a documented real modifier) is directional but k = 19-underpowered (rel − uniform −0.020, n.s.). SAT-coaching is nominally clean (perm p = 0.045) but trivially weak (R² = 0.08) in a near-homogeneous field, so relevance correctly ties the nulls. The flat-modifier slice (alcohol-by-age, perm p = 0.49) is correctly inert (+2.7%) — the in-data β = 0 control.</w:t>
      </w:r>
    </w:p>
    <w:p>
      <w:pPr>
        <w:spacing w:after="120"/>
      </w:pPr>
      <w:r>
        <w:rPr>
          <w:b/>
          <w:bCs/>
          <w:sz w:val="18"/>
          <w:szCs w:val="18"/>
        </w:rPr>
        <w:t xml:space="preserve">Table 6. </w:t>
      </w:r>
      <w:r>
        <w:rPr>
          <w:sz w:val="18"/>
          <w:szCs w:val="18"/>
        </w:rPr>
        <w:t xml:space="preserve">Cross-specialty pooled fractional MAE reduction (DL random-effects) across the 5 clean qualifiers in 3 specialties (Endocrine/Metabolic ×2, Education ×2, Oncology ×1) [report table, §3 of MULTISPECIALTY; per-slice values exact from replication/multispecialty_loo.json].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200"/>
        <w:gridCol w:w="1960"/>
      </w:tblGrid>
      <w:tr>
        <w:trPr>
          <w:tblHeader/>
        </w:trPr>
        <w:tc>
          <w:tcPr>
            <w:tcW w:type="dxa" w:w="4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comparison</w:t>
            </w:r>
          </w:p>
        </w:tc>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pooled fractional MAE reduction</w:t>
            </w:r>
          </w:p>
        </w:tc>
        <w:tc>
          <w:tcPr>
            <w:tcW w:type="dxa" w:w="19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relevance − uniform (no-relevance null)</w:t>
            </w:r>
          </w:p>
        </w:tc>
        <w:tc>
          <w:tcPr>
            <w:tcW w:type="dxa" w:w="32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−10.9% [−20.2%, −1.5%]  (τ² = 0.008)</w:t>
            </w:r>
          </w:p>
        </w:tc>
        <w:tc>
          <w:tcPr>
            <w:tcW w:type="dxa" w:w="19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CI &lt; 0 robust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relevance − scrambled null</w:t>
            </w:r>
          </w:p>
        </w:tc>
        <w:tc>
          <w:tcPr>
            <w:tcW w:type="dxa" w:w="32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−12.4% [−22.8%, −2.0%]  (τ² = 0.009)</w:t>
            </w:r>
          </w:p>
        </w:tc>
        <w:tc>
          <w:tcPr>
            <w:tcW w:type="dxa" w:w="19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CI &lt; 0 robust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strong-modifier subset (R² ≥ 0.15, N = 4) vs uniform</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−13.8% [−20.6%, −7.0%]</w:t>
            </w:r>
          </w:p>
        </w:tc>
        <w:tc>
          <w:tcPr>
            <w:tcW w:type="dxa" w:w="1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CI &lt; 0 robust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strong-modifier subset (R² ≥ 0.15, N = 4) vs scrambled</w:t>
            </w:r>
          </w:p>
        </w:tc>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−15.9% [−24.5%, −7.3%]</w:t>
            </w:r>
          </w:p>
        </w:tc>
        <w:tc>
          <w:tcPr>
            <w:tcW w:type="dxa" w:w="19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CI &lt; 0 robust</w:t>
            </w:r>
          </w:p>
        </w:tc>
      </w:tr>
    </w:tbl>
    <w:p>
      <w:pPr>
        <w:spacing w:after="60" w:line="276"/>
      </w:pPr>
      <w:r>
        <w:t xml:space="preserve"/>
      </w:r>
    </w:p>
    <w:p>
      <w:pPr>
        <w:spacing w:after="120" w:line="276"/>
      </w:pPr>
      <w:r>
        <w:t xml:space="preserve">The §4.6 suggestive N = 2 estimate (CI crossed 0) is now a robustly significant cross-specialty result. Relevance beats both nulls in 3/5 clean slices, and the per-slice benefit scales with modifier strength (R² 0.08 → ≈ 0%; 0.38 → −14.5%; GLP1 dose → −40%), exactly as a relevance mechanism should. Caveats: two of the five clean slices share the GLP1 class (three genuinely independent specialties), and two slices are effect-level rather than study-independent.</w:t>
      </w:r>
    </w:p>
    <w:p>
      <w:pPr>
        <w:pStyle w:val="Heading1"/>
      </w:pPr>
      <w:r>
        <w:t xml:space="preserve">5. The transportability boundary — a registry null (pilots 3–4) and a fair test (BCG)</w:t>
      </w:r>
    </w:p>
    <w:p>
      <w:pPr>
        <w:spacing w:after="120" w:line="276"/>
      </w:pPr>
      <w:r>
        <w:t xml:space="preserve">The genuinely novel extension is transportability: standardise borrowed evidence to a defined target population and down-weight trials whose population does not transport. The borrowing weight becomes relevance(class, baseline) × transportability(obesity kernel + standardisation) × precision.</w:t>
      </w:r>
    </w:p>
    <w:p>
      <w:pPr>
        <w:pStyle w:val="Heading2"/>
      </w:pPr>
      <w:r>
        <w:t xml:space="preserve">5.1 Is the population signal real? (checked first)</w:t>
      </w:r>
    </w:p>
    <w:p>
      <w:pPr>
        <w:spacing w:after="120" w:line="276"/>
      </w:pPr>
      <w:r>
        <w:t xml:space="preserve">Before any borrowing machinery (probe_transport.py, n = 38): the marginal slope of effect on population obesity is −0.034 /SD (perm p = 0.65); adding drug-class fixed effects collapses it to −0.002 /SD (p = 0.97), and the residual correlation after class is −0.023 ≈ 0 (probe_transport_summary.json). The within-class obesity slope is directionally consistent across all three classes (positive: higher-obesity populations get smaller HbA1c reductions — the expected East-Asian-responsiveness direction), but the marginal sign reverses only by class confounding — a Simpson reversal (high-efficacy GLP1 is tested more in high-obesity US). The magnitude is tiny and not robust after class (pooled within-class β ≈ 0.0061 %HbA1c per obesity-%; only DPP4 hints at a real slope and has n = 6) [within-class breakdown: report table, §2 of PILOT3]. The population covariate does not add over relevance on this slice.</w:t>
      </w:r>
    </w:p>
    <w:p>
      <w:pPr>
        <w:pStyle w:val="Heading2"/>
      </w:pPr>
      <w:r>
        <w:t xml:space="preserve">5.2 Real LOO — transport does not beat relevance-only</w:t>
      </w:r>
    </w:p>
    <w:p>
      <w:pPr>
        <w:spacing w:after="120" w:line="276"/>
      </w:pPr>
      <w:r>
        <w:t xml:space="preserve">Held-out single-country trial = target population (zero own data → pure transportability prediction); truth = real held-out effect; paired bootstrap over 12 folds (pilot3_loo_summary.json; Table 7). Coverage of the real held-out effect was 0.92 for all methods (apples-to-apples). A from-scratch re-derivation with a different kernel and CI method (selfverify3.py, Epanechnikov + jackknife) agrees: relevance − NMA −0.062 [−0.121, −0.002] win; transport − relevance +0.005 [−0.019, +0.030] n.s. — same sign, same decision.</w:t>
      </w:r>
    </w:p>
    <w:p>
      <w:pPr>
        <w:spacing w:after="120"/>
      </w:pPr>
      <w:r>
        <w:rPr>
          <w:b/>
          <w:bCs/>
          <w:sz w:val="18"/>
          <w:szCs w:val="18"/>
        </w:rPr>
        <w:t xml:space="preserve">Table 7. </w:t>
      </w:r>
      <w:r>
        <w:rPr>
          <w:sz w:val="18"/>
          <w:szCs w:val="18"/>
        </w:rPr>
        <w:t xml:space="preserve">Pilot-3 real LOO on single-country targets: paired-bootstrap ΔMAE (Δ &lt; 0 = first method better; exact from pilot3_loo_summary.json). The two negative controls behave exactly as a correct transport layer must.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660"/>
        <w:gridCol w:w="4000"/>
      </w:tblGrid>
      <w:tr>
        <w:trPr>
          <w:tblHeader/>
        </w:trPr>
        <w:tc>
          <w:tcPr>
            <w:tcW w:type="dxa" w:w="2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contrast</w:t>
            </w:r>
          </w:p>
        </w:tc>
        <w:tc>
          <w:tcPr>
            <w:tcW w:type="dxa" w:w="26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ΔMAE [95% CI]</w:t>
            </w:r>
          </w:p>
        </w:tc>
        <w:tc>
          <w:tcPr>
            <w:tcW w:type="dxa" w:w="4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relevance − NMA</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−0.0616 [−0.1186, −0.0071]</w:t>
            </w:r>
          </w:p>
        </w:tc>
        <w:tc>
          <w:tcPr>
            <w:tcW w:type="dxa" w:w="40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relevance WINS (pilot 2 reproduced)</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transport − relevance</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+0.0218 [−0.0374, +0.0817]</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n.s. — transport does not beat relevance</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transport − NMA</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−0.0398 [−0.1249, +0.0367]</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transport − scrambled</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−0.0011 [−0.0798, +0.0684]</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control: target = donor pool</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+0.0042 [−0.0045, +0.0117]</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inert (collapses to relevance-only)</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control: β_ob = 0</w:t>
            </w:r>
          </w:p>
        </w:tc>
        <w:tc>
          <w:tcPr>
            <w:tcW w:type="dxa" w:w="26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+0.0005 [−0.0209, +0.0222]</w:t>
            </w:r>
          </w:p>
        </w:tc>
        <w:tc>
          <w:tcPr>
            <w:tcW w:type="dxa" w:w="4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inert (no signal, no effect)</w:t>
            </w:r>
          </w:p>
        </w:tc>
      </w:tr>
    </w:tbl>
    <w:p>
      <w:pPr>
        <w:spacing w:after="120" w:line="276"/>
      </w:pPr>
      <w:r>
        <w:t xml:space="preserve"/>
      </w:r>
    </w:p>
    <w:p>
      <w:pPr>
        <w:pStyle w:val="Heading2"/>
      </w:pPr>
      <w:r>
        <w:t xml:space="preserve">5.3 The machinery is correct — known-truth β-sweep</w:t>
      </w:r>
    </w:p>
    <w:p>
      <w:pPr>
        <w:spacing w:after="120" w:line="276"/>
      </w:pPr>
      <w:r>
        <w:t xml:space="preserve">Keeping the real trial structure (real classes, real obesity, real SEs of all 38 trials) but regenerating effects under a known DGP y = a_class + β·(ob − ob_ref) + ε, LOO-predicting the same 12 targets, scoring to known truth, and sweeping β (sim_transport_results.json; Table 8). Transport MAE stays flat at 0.228 across the entire sweep (it standardises the population shift away) while NMA and relevance-only blow up. The crossover is at β ≈ 0.01–0.02, about 2–3× the real value. The transport layer is therefore inert when it should be (β = 0, target = pool), reproduces the real-data null at the real β, beats relevance-only and the nulls monotonically once the population modifier is strong, and never harms beyond a tiny (+0.006) inert-regime kernel cost (Figure 3).</w:t>
      </w:r>
    </w:p>
    <w:p>
      <w:pPr>
        <w:spacing w:after="120"/>
      </w:pPr>
      <w:r>
        <w:rPr>
          <w:b/>
          <w:bCs/>
          <w:sz w:val="18"/>
          <w:szCs w:val="18"/>
        </w:rPr>
        <w:t xml:space="preserve">Table 8. </w:t>
      </w:r>
      <w:r>
        <w:rPr>
          <w:sz w:val="18"/>
          <w:szCs w:val="18"/>
        </w:rPr>
        <w:t xml:space="preserve">Pilot-3 known-truth β-sweep on the real trial structure: MAE to known truth and transport − relevance contrast (exact from sim_transport_results.json).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500"/>
        <w:gridCol w:w="1500"/>
        <w:gridCol w:w="2160"/>
        <w:gridCol w:w="1800"/>
      </w:tblGrid>
      <w:tr>
        <w:trPr>
          <w:tblHeader/>
        </w:trPr>
        <w:tc>
          <w:tcPr>
            <w:tcW w:type="dxa" w:w="1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true β</w:t>
            </w:r>
          </w:p>
        </w:tc>
        <w:tc>
          <w:tcPr>
            <w:tcW w:type="dxa" w:w="11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MAE NMA</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MAE relevance</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MAE transport</w:t>
            </w:r>
          </w:p>
        </w:tc>
        <w:tc>
          <w:tcPr>
            <w:tcW w:type="dxa" w:w="21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transport − relevance [95% CI]</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0.278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+0.006 [+0.004, +0.008]</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inert (tiny kernel cost)</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bCs/>
                <w:sz w:val="17"/>
                <w:szCs w:val="17"/>
              </w:rPr>
              <w:t xml:space="preserve">0.006 (real)</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0.266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21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+0.000 [−0.003, +0.003]</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n.s. — reproduces real null</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0.360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21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−0.111 [−0.118, −0.104]</w:t>
            </w:r>
          </w:p>
        </w:tc>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TRANSPORT WINS</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0.050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0.754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0.777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21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−0.549 [−0.559, −0.538]</w:t>
            </w:r>
          </w:p>
        </w:tc>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TRANSPORT WINS</w:t>
            </w:r>
          </w:p>
        </w:tc>
      </w:tr>
      <w:tr>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0.100</w:t>
            </w:r>
          </w:p>
        </w:tc>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1.556</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1.580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0.228</w:t>
            </w:r>
          </w:p>
        </w:tc>
        <w:tc>
          <w:tcPr>
            <w:tcW w:type="dxa" w:w="21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−1.352 [−1.364, −1.340]</w:t>
            </w:r>
          </w:p>
        </w:tc>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TRANSPORT WINS</w:t>
            </w:r>
          </w:p>
        </w:tc>
      </w:tr>
    </w:tbl>
    <w:p>
      <w:pPr>
        <w:spacing w:after="120" w:line="276"/>
      </w:pPr>
      <w:r>
        <w:t xml:space="preserve"/>
      </w:r>
    </w:p>
    <w:p>
      <w:pPr>
        <w:spacing w:after="60" w:before="120"/>
        <w:jc w:val="center"/>
      </w:pPr>
      <w:r>
        <w:drawing>
          <wp:inline distT="0" distB="0" distL="0" distR="0">
            <wp:extent cx="6096000" cy="2486025"/>
            <wp:effectExtent t="0" r="0" b="0" l="0"/>
            <wp:docPr id="1" name="fig3_pilot3_transport.png" descr="Figure 3. Pilot 3 (population/obesity transport). A: real LOO contrasts — relevance beats NMA, but transport does not add over relevance-only. B: the known-truth β-sweep — transport MAE stays flat while NMA and relevance-only blow up; the real β = 0.006 sits in the inert corner, with the crossover at β ≈ 0.01–0.02. Sources: pilot3_loo_summary.json, sim_transport_results.json." title="Figure 3. Pilot 3 (population/obesity transport). A: real LOO contrasts — relevance beats NMA, but transport does not add over relevance-only. B: the known-truth β-sweep — transport MAE stays flat while NMA and relevance-only blow up; the real β = 0.006 sits in the inert corner, with the crossover at β ≈ 0.01–0.02. Sources: pilot3_loo_summary.json, sim_transport_result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486025"/>
                    </a:xfrm>
                    <a:prstGeom prst="rect">
                      <a:avLst/>
                    </a:prstGeom>
                  </pic:spPr>
                </pic:pic>
              </a:graphicData>
            </a:graphic>
          </wp:inline>
        </w:drawing>
      </w:r>
    </w:p>
    <w:p>
      <w:pPr>
        <w:spacing w:after="160"/>
        <w:jc w:val="center"/>
      </w:pPr>
      <w:r>
        <w:rPr>
          <w:i/>
          <w:iCs/>
          <w:sz w:val="17"/>
          <w:szCs w:val="17"/>
        </w:rPr>
        <w:t xml:space="preserve">Figure 3. Pilot 3 (population/obesity transport). A: real LOO contrasts — relevance beats NMA, but transport does not add over relevance-only. B: the known-truth β-sweep — transport MAE stays flat while NMA and relevance-only blow up; the real β = 0.006 sits in the inert corner, with the crossover at β ≈ 0.01–0.02. Sources: pilot3_loo_summary.json, sim_transport_results.json.</w:t>
      </w:r>
    </w:p>
    <w:p>
      <w:pPr>
        <w:pStyle w:val="Heading2"/>
      </w:pPr>
      <w:r>
        <w:t xml:space="preserve">5.4 Verdict on the registry transport test (pilot 3)</w:t>
      </w:r>
    </w:p>
    <w:p>
      <w:pPr>
        <w:spacing w:after="120" w:line="276"/>
      </w:pPr>
      <w:r>
        <w:t xml:space="preserve">Transportability does not improve over relevance-only on this real T2DM HbA1c slice, because the population obesity covariate is not a strong enough effect modifier here (β ≈ 0.006, n.s. after class). This is a property of the data, not the method: with known truth the layer is correct and powerful. The honest threshold is quantified — transportability earns its keep only when a population covariate modifies the effect at β ≳ 0.02 (≈ 3× what obesity delivers here).</w:t>
      </w:r>
    </w:p>
    <w:p>
      <w:pPr>
        <w:pStyle w:val="Heading2"/>
      </w:pPr>
      <w:r>
        <w:t xml:space="preserve">5.5 Why no registry slice qualifies — the structural finding (pilot 4)</w:t>
      </w:r>
    </w:p>
    <w:p>
      <w:pPr>
        <w:spacing w:after="120" w:line="276"/>
      </w:pPr>
      <w:r>
        <w:t xml:space="preserve">A multi-domain search (pilot 4, REPORT_BORROWING_PILOT4.md) shows the pilot-3 null is structural, not a near-miss. A transportability test needs three things in one slice: a population gradient the trials actually sample, a clean placebo-anchored exchangeable effect, and adequate n. The registry systematically separates them. Across 13 major areas, every placebo-anchored continuous-outcome domain is gradient-compressed by trial-site selection (IHME-SDI coefficient of variation ≤ 0.09 for diabetes, hypertension, depression, asthma, COPD, heart failure, obesity, schizophrenia, RA, COVID) — even in depression, where the income/region modifier is famous, the covariate barely varies (within-slice SDI CV = 0.04) and the modifier is null (perm p ≈ 0.6). The wide gradient lives only in infectious-disease domains — malaria (SDI CV = 0.37), TB (0.21), enteric (0.18), HIV (0.17) — where outcomes are binary and effects are drug-vs-drug or single-arm, so there is no exchangeable placebo anchor to borrow. On the best-available placebo-anchored slice (MADRS antidepressant-vs-placebo, n = 36, candidate modifier = under-5 mortality, the only nominally significant adjusted slope, perm p = 0.009 over all scales but a fragile p = 0.09 on MADRS alone, 1 of 8 tests), transportability does not beat relevance-only (ΔMAE +0.066 [−0.158, +0.304], n.s.; from-scratch +0.059 [−0.141, +0.260]), while a known-truth sim on the same structure confirms the machinery wins once β ≳ 0.5/unit — the real point-estimate sits near that threshold but is too fragile to net a win. The conclusion is that the full transportability method remains conditional on real registry data; a decisive test needs a placebo-controlled, gradient-spanning slice the registry does not supply — which motivates §5.6.</w:t>
      </w:r>
    </w:p>
    <w:p>
      <w:pPr>
        <w:pStyle w:val="Heading2"/>
      </w:pPr>
      <w:r>
        <w:t xml:space="preserve">5.6 The fair transportability test — dat.bcg (strong real modifier)</w:t>
      </w:r>
    </w:p>
    <w:p>
      <w:pPr>
        <w:spacing w:after="120" w:line="276"/>
      </w:pPr>
      <w:r>
        <w:t xml:space="preserve">dat.bcg supplies what AACT could not: 13 placebo-controlled BCG-vaccine trials (Colditz et al. 1994, JAMA 271:698–702; curated by Berkey et al. 1995, Stat Med 14:395–411) with absolute latitude 13°→55°, where latitude is the textbook strong modifier of BCG efficacy (Fine 1995, Lancet 346:1339–1345). The per-trial effect is the log risk ratio from the 2×2. The modifier is verified real: RE (DL) meta-regression slope −0.0292/deg (z = −4.34, τ² = 0.063), permutation p = 0.023 in-house and 0.0052 by external metafor REML (z = −4.04, R² = 75.6%), surviving adjustment for trial year (→ −0.0339) and allocation (→ −0.0303) despite a latitude–year correlation of −0.66. The lone non-significant test (fixed-weight WLS permutation, p = 0.106) is leverage-conservative — 2 of the 13 trials hold 65% of the WLS weight — which is exactly why the random-effects model is the correct one. Because latitude is the only covariate, relevance and transport share the same Gaussian latitude kernel and differ only by the standardisation shift y(s→t) = y_s + β_lat·(lat_t − lat_s), so transport − relevance isolates the g-computation step (Table 9).</w:t>
      </w:r>
    </w:p>
    <w:p>
      <w:pPr>
        <w:spacing w:after="120"/>
      </w:pPr>
      <w:r>
        <w:rPr>
          <w:b/>
          <w:bCs/>
          <w:sz w:val="18"/>
          <w:szCs w:val="18"/>
        </w:rPr>
        <w:t xml:space="preserve">Table 9. </w:t>
      </w:r>
      <w:r>
        <w:rPr>
          <w:sz w:val="18"/>
          <w:szCs w:val="18"/>
        </w:rPr>
        <w:t xml:space="preserve">BCG five-way real leave-one-trial-out (truth = real held-out log risk ratio), central bandwidth = SD (13.9°). Paired-bootstrap ΔMAE, exact from bcg/bcg_loo.json (REPORT_BORROWING_BCG.md).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360"/>
        <w:gridCol w:w="4300"/>
      </w:tblGrid>
      <w:tr>
        <w:trPr>
          <w:tblHeader/>
        </w:trPr>
        <w:tc>
          <w:tcPr>
            <w:tcW w:type="dxa" w:w="2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contrast</w:t>
            </w:r>
          </w:p>
        </w:tc>
        <w:tc>
          <w:tcPr>
            <w:tcW w:type="dxa" w:w="2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ΔMAE [95% CI]</w:t>
            </w:r>
          </w:p>
        </w:tc>
        <w:tc>
          <w:tcPr>
            <w:tcW w:type="dxa" w:w="43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transport − NMA</w:t>
            </w:r>
          </w:p>
        </w:tc>
        <w:tc>
          <w:tcPr>
            <w:tcW w:type="dxa" w:w="23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−0.198 [−0.344, −0.041]</w:t>
            </w:r>
          </w:p>
        </w:tc>
        <w:tc>
          <w:tcPr>
            <w:tcW w:type="dxa" w:w="43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transport beats textbook RE (robust, all bw &amp; 3 paths)</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relevance − uniform</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−0.175 [−0.306, −0.034]</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relevance kernel beats no-relevance</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transport − relevance</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−0.049 [−0.131, +0.035]</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directional (W at narrow bw / jackknife); n.s. at k = 13</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control: target = donor pool</w:t>
            </w:r>
          </w:p>
        </w:tc>
        <w:tc>
          <w:tcPr>
            <w:tcW w:type="dxa" w:w="23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+0.187 [+0.017, +0.347]</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standardising to the wrong target hurts — gain is real-target-specific</w:t>
            </w:r>
          </w:p>
        </w:tc>
      </w:tr>
      <w:tr>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control: β_lat = 0</w:t>
            </w:r>
          </w:p>
        </w:tc>
        <w:tc>
          <w:tcPr>
            <w:tcW w:type="dxa" w:w="23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0.000 (exact)</w:t>
            </w:r>
          </w:p>
        </w:tc>
        <w:tc>
          <w:tcPr>
            <w:tcW w:type="dxa" w:w="4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inert — transport collapses onto relevance</w:t>
            </w:r>
          </w:p>
        </w:tc>
      </w:tr>
    </w:tbl>
    <w:p>
      <w:pPr>
        <w:spacing w:after="60" w:line="276"/>
      </w:pPr>
      <w:r>
        <w:t xml:space="preserve"/>
      </w:r>
    </w:p>
    <w:p>
      <w:pPr>
        <w:spacing w:after="120" w:line="276"/>
      </w:pPr>
      <w:r>
        <w:rPr>
          <w:b/>
          <w:bCs/>
        </w:rPr>
        <w:t xml:space="preserve">Verdict. </w:t>
      </w:r>
      <w:r>
        <w:t xml:space="preserve">The full transportability-weighted method robustly beats standard RE pooling on real held-out trials where the modifier is genuinely strong (transport − NMA −0.198, CI &lt; 0 in all three bandwidths and all three internal code paths plus external metafor), and the target = pool control proves the gain comes from standardising to the real target's latitude, not generic shrinkage. Its incremental margin specifically over relevance-down-weighting is directionally positive everywhere but k = 13-underpowered (CI crosses 0 at the pre-registered bandwidth). This is the mirror image of pilot 2: there the kernel carried the win and standardisation was untestable; on BCG the standardisation carries it and the raw-effect kernel barely beats the scrambled null. The two mechanisms are complementary and each is now validated on real data in the regime it was designed for.</w:t>
      </w:r>
    </w:p>
    <w:p>
      <w:pPr>
        <w:pStyle w:val="Heading2"/>
      </w:pPr>
      <w:r>
        <w:t xml:space="preserve">5.7 Expansion beyond BCG — rotavirus, a cross-domain slice, and the honest verdict</w:t>
      </w:r>
    </w:p>
    <w:p>
      <w:pPr>
        <w:spacing w:after="120" w:line="276"/>
      </w:pPr>
      <w:r>
        <w:t xml:space="preserve">BCG (k = 13) left the transport-over-relevance margin directional. Two further strong-modifier slices were added truth-first. Rotavirus: 29 placebo-controlled live-oral-rotavirus-vaccine trial-populations (Clark et al. 2019, Lancet Infect Dis 19:717–727; deposited per-trial data) with country under-5 mortality as the oral-vaccine-paradox gradient (RE meta-regression slope +0.0142/unit, permutation p = 0.007; external metafor REML +0.0141) — it reproduces the BCG signature (transport beats relevance-only at the narrow bandwidth, directional at central). A cross-domain third slice, Raudenbush's 19 teacher-expectancy experiments (weeks of prior teacher–pupil contact as a strong, leverage-robust modifier: Spearman ρ = −0.80, perm p = 0.0001), is a standardised-mean-difference effect and so tests whether the g-computation mechanism generalises beyond vaccine epidemiology; it too reproduces the signature (clean narrow-bandwidth win, β = 0 inert, target = pool hurts +0.044). Because these are different effect scales (log-RR vs SMD), the three are pooled only by scale-free metrics (Table 9a).</w:t>
      </w:r>
    </w:p>
    <w:p>
      <w:pPr>
        <w:spacing w:after="120"/>
      </w:pPr>
      <w:r>
        <w:rPr>
          <w:b/>
          <w:bCs/>
          <w:sz w:val="18"/>
          <w:szCs w:val="18"/>
        </w:rPr>
        <w:t xml:space="preserve">Table 9a. </w:t>
      </w:r>
      <w:r>
        <w:rPr>
          <w:sz w:val="18"/>
          <w:szCs w:val="18"/>
        </w:rPr>
        <w:t xml:space="preserve">Transport-over-relevance across all three strong-modifier slices (k = 61, two domains), scale-free full-inference layer. Exact from borrowing/agg/consolidate3_results.json (REPORT_BORROWING_EXPANSION.md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scale-free test (central bandwidth)</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result</w:t>
            </w:r>
          </w:p>
        </w:tc>
        <w:tc>
          <w:tcPr>
            <w:tcW w:type="dxa" w:w="27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reading</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trials favouring transport (binomial sign)</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46 / 61, p &lt; 0.0001</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directional signal strong (LOO-overlap caveat)</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fractional MAE reduction, equal-weight 3 slices</w:t>
            </w:r>
          </w:p>
        </w:tc>
        <w:tc>
          <w:tcPr>
            <w:tcW w:type="dxa" w:w="24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−9.7% [−17.6%, −0.9%]</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pooled CI &lt; 0</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random-effects (DL) pool of the 3 fractions</w:t>
            </w:r>
          </w:p>
        </w:tc>
        <w:tc>
          <w:tcPr>
            <w:tcW w:type="dxa" w:w="24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−9.1% [−16.8%, −1.4%]</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pooled CI &lt; 0 (I² = 0)</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leave-one-slice-out (drop each)</w:t>
            </w:r>
          </w:p>
        </w:tc>
        <w:tc>
          <w:tcPr>
            <w:tcW w:type="dxa" w:w="24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every drop crosses 0</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NOT robust to removing any one slice</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95% prediction interval (across-slice)</w:t>
            </w:r>
          </w:p>
        </w:tc>
        <w:tc>
          <w:tcPr>
            <w:tcW w:type="dxa" w:w="24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[−26.1%, +7.8%]</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includes 0 — a 4th slice could fall either side</w:t>
            </w:r>
          </w:p>
        </w:tc>
      </w:tr>
      <w:tr>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domain-matched raw-logRR pool (BCG+rota)</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−0.069 [−0.140, +0.003]</w:t>
            </w:r>
          </w:p>
        </w:tc>
        <w:tc>
          <w:tcPr>
            <w:tcW w:type="dxa" w:w="276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unchanged, on threshold</w:t>
            </w:r>
          </w:p>
        </w:tc>
      </w:tr>
    </w:tbl>
    <w:p>
      <w:pPr>
        <w:spacing w:after="40" w:line="276"/>
      </w:pPr>
      <w:r>
        <w:t xml:space="preserve"/>
      </w:r>
    </w:p>
    <w:p>
      <w:pPr>
        <w:spacing w:after="120" w:line="276"/>
      </w:pPr>
      <w:r>
        <w:rPr>
          <w:b/>
          <w:bCs/>
        </w:rPr>
        <w:t xml:space="preserve">Honest verdict. </w:t>
      </w:r>
      <w:r>
        <w:t xml:space="preserve">Beyond k = 13, transport-over-relevance is materially strengthened but NOT decisively settled: the pooled scale-free CIs exclude 0 and the mechanism reproduces across two domains, yet the win does not survive leave-one-slice-out and the prediction interval includes 0. A dedicated search over all on-disk public data plus the full ClinicalTrials.gov snapshot found no qualifying fourth population-gradient slice — vitamin-A child-mortality trials predate the registry, pneumococcal/Hib/pertussis efficacy trials are too few and multi-country, and malaria field trials collapse to a single country — so hardening this margin requires a non-headless deposited data fetch (flagged, not forced). We therefore report the incremental transport step as directional and strengthened, with the leave-one-slice-out fragility stated.</w:t>
      </w:r>
    </w:p>
    <w:p>
      <w:pPr>
        <w:pStyle w:val="Heading1"/>
      </w:pPr>
      <w:r>
        <w:t xml:space="preserve">6. Registry-scale field — a learned kernel beats within-meta-analysis borrowing on a 1,177-study corpus</w:t>
      </w:r>
    </w:p>
    <w:p>
      <w:pPr>
        <w:spacing w:after="120" w:line="276"/>
      </w:pPr>
      <w:r>
        <w:t xml:space="preserve">Pilots 1–5 borrow within one meta-analysis. This section takes the method to the original gravitational-field vision — represent a whole corpus of real meta-analyses as one field in which every study exerts a relevance-weighted influence on every estimate — and answers the decisive methodological question: does borrowing across meta-analyses beat borrowing within one? Twenty-eight real published meta-analyses staged from metadat were harmonised via metafor::escalc into 1,177 study nodes across three effect families — standardised mean difference (445), Fisher-z correlation (352), log-odds-ratio (380) — spanning education, clinical medicine, psychiatry, cardiology, oncology, infectious disease, and more. (This expands the initial 16-MA / 779-node staging by 12 additional real MAs — 10 raw-2×2 harmonised to log-OR and 2 correlations to Fisher-z — growing the log-OR family from 3 to 12 meta-analyses; two trial-overlap duplicates were excluded truth-first.) Cross-family borrowing is stood down a-priori (weight 0; the scales are incomparable), so the field is block-diagonal by family, which is also how it stays tractable at N ≈ thousands. The decisive comparison contrasts two kernels: the pilots' hand-set relevance kernel and a learned kernel, both scored on the same non-circular test — hold out each study's real effect, reconstruct it from the others (its own effect never a feature; no leakage), and score the absolute error.</w:t>
      </w:r>
    </w:p>
    <w:p>
      <w:pPr>
        <w:pStyle w:val="Heading2"/>
      </w:pPr>
      <w:r>
        <w:t xml:space="preserve">6.1 The primary result — a learned kernel with conformal calibration beats within-MA</w:t>
      </w:r>
    </w:p>
    <w:p>
      <w:pPr>
        <w:spacing w:after="120" w:line="276"/>
      </w:pPr>
      <w:r>
        <w:t xml:space="preserve">The learned kernel is a Gaussian process with a grouped-ARD kernel whose four length scales — over standardised year, log-precision, a specialty match/no-match, and a meta-analysis match/no-match — are the data-driven gravity, fit by marginal likelihood (Rasmussen &amp; Williams 2006; analytic-gradient implementation, field_learned.py). Per-study sampling variance enters the noise diagonal. The reported score is the honest 10-fold refit: hyper-parameters are re-optimised on each training fold and the held-out fold predicted (5 fold-seeds averaged), removing the shared-hyperparameter optimism of closed-form leave-one-out. On the full 1,177-node corpus the learned kernel is the only method that beats within-MA borrowing (Table 10).</w:t>
      </w:r>
    </w:p>
    <w:p>
      <w:pPr>
        <w:spacing w:after="120"/>
      </w:pPr>
      <w:r>
        <w:rPr>
          <w:b/>
          <w:bCs/>
          <w:sz w:val="18"/>
          <w:szCs w:val="18"/>
        </w:rPr>
        <w:t xml:space="preserve">Table 10. </w:t>
      </w:r>
      <w:r>
        <w:rPr>
          <w:sz w:val="18"/>
          <w:szCs w:val="18"/>
        </w:rPr>
        <w:t xml:space="preserve">Registry-scale held-out reconstruction (mean absolute error over 1,177 real studies) vs the modern borrowing frontier; paired-bootstrap contrast against within-MA borrowing. Learned kernel = honest 10-fold refit, 5-seed average. Exact from borrowing/field_scale/benchmark_learned_results.json (REPORT_BORROWING_FIELD.md §8bis).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2900"/>
        <w:gridCol w:w="1900"/>
      </w:tblGrid>
      <w:tr>
        <w:trPr>
          <w:tblHeader/>
        </w:trPr>
        <w:tc>
          <w:tcPr>
            <w:tcW w:type="dxa" w:w="3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method</w:t>
            </w:r>
          </w:p>
        </w:tc>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held-out MAE</w:t>
            </w:r>
          </w:p>
        </w:tc>
        <w:tc>
          <w:tcPr>
            <w:tcW w:type="dxa" w:w="2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vs within-MA [95% CI]</w:t>
            </w:r>
          </w:p>
        </w:tc>
        <w:tc>
          <w:tcPr>
            <w:tcW w:type="dxa" w:w="19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verdict</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learned-kernel field (this work)</w:t>
            </w:r>
          </w:p>
        </w:tc>
        <w:tc>
          <w:tcPr>
            <w:tcW w:type="dxa" w:w="19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0.3325</w:t>
            </w:r>
          </w:p>
        </w:tc>
        <w:tc>
          <w:tcPr>
            <w:tcW w:type="dxa" w:w="29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−0.0230 [−0.0340, −0.0117]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BEATS within-MA</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robust-MAP prior (Schmidli 2014)</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0.3531</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−0.0024 [−0.0091, +0.0043]</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ties within-MA</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hierarchical cross-MA Bayes (Higgins 2009)</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0.3523</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−0.0032 [−0.0091, +0.0027]</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ties within-MA</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within-MA (per-slice)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0.3555</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reference</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hand field (AdaptShrink kernel)</w:t>
            </w:r>
          </w:p>
        </w:tc>
        <w:tc>
          <w:tcPr>
            <w:tcW w:type="dxa" w:w="19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0.3749</w:t>
            </w:r>
          </w:p>
        </w:tc>
        <w:tc>
          <w:tcPr>
            <w:tcW w:type="dxa" w:w="290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+0.0195 [+0.0112, +0.0279]</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worse than within-MA</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g-modeling / NPMLE EB (Efron 2016)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0.4171</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+0.0616</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worse</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no-borrow (global mean)</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0.4185</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+0.0630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worse</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 kernel, SCRAMBLED labels</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0.3850</w:t>
            </w:r>
          </w:p>
        </w:tc>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+0.0295 [+0.0153, +0.0435]</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control — loses</w:t>
            </w:r>
          </w:p>
        </w:tc>
      </w:tr>
    </w:tbl>
    <w:p>
      <w:pPr>
        <w:spacing w:after="60" w:line="276"/>
      </w:pPr>
      <w:r>
        <w:t xml:space="preserve"/>
      </w:r>
    </w:p>
    <w:p>
      <w:pPr>
        <w:spacing w:after="120" w:line="276"/>
      </w:pPr>
      <w:r>
        <w:rPr>
          <w:b/>
          <w:bCs/>
        </w:rPr>
        <w:t xml:space="preserve">The central result. </w:t>
      </w:r>
      <w:r>
        <w:t xml:space="preserve">A learned relevance kernel beats within-MA borrowing across the whole corpus (−0.0230 [−0.0340, −0.0117]), reproducing the −0.025 measured on the smaller 779-node staging — the win is stable as coverage grows. It is the only method that clears within-MA: robust-MAP and hierarchical cross-MA Bayes, which beat the hand field, only tie within-MA here. Crucially, the hand-set AdaptShrink kernel used throughout the pilots is worse than within-MA (+0.0195) — it is the weakest smart borrower, and we report it as the weaker starting instantiation, not the contribution. A scrambled-label kernel loses to the true kernel (−0.0525 [−0.0673, −0.0373]): the learned gravity reflects real (specialty, meta-analysis) topology, not the mere act of pooling.</w:t>
      </w:r>
    </w:p>
    <w:p>
      <w:pPr>
        <w:spacing w:after="120"/>
      </w:pPr>
      <w:r>
        <w:rPr>
          <w:b/>
          <w:bCs/>
          <w:sz w:val="18"/>
          <w:szCs w:val="18"/>
        </w:rPr>
        <w:t xml:space="preserve">Table 11. </w:t>
      </w:r>
      <w:r>
        <w:rPr>
          <w:sz w:val="18"/>
          <w:szCs w:val="18"/>
        </w:rPr>
        <w:t xml:space="preserve">Per-regime (home-MA sibling count) and conformal calibration for the learned kernel. Δ = learned − within-MA (negative = learned better). Conformal = CV+/split-conformal per family, target 90%. Exact from benchmark_learned_results.json.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2600"/>
        <w:gridCol w:w="2400"/>
      </w:tblGrid>
      <w:tr>
        <w:trPr>
          <w:tblHeader/>
        </w:trPr>
        <w:tc>
          <w:tcPr>
            <w:tcW w:type="dxa" w:w="4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home-MA regime / calibration</w:t>
            </w:r>
          </w:p>
        </w:tc>
        <w:tc>
          <w:tcPr>
            <w:tcW w:type="dxa" w:w="2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value</w:t>
            </w:r>
          </w:p>
        </w:tc>
        <w:tc>
          <w:tcPr>
            <w:tcW w:type="dxa" w:w="2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reading</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sparse (k ≤ 8, n=14): learned − within</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+0.060 [−0.002, +0.117]</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n.s. (underpowered tail)</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mid (9–40, n=350): learned − within</w:t>
            </w:r>
          </w:p>
        </w:tc>
        <w:tc>
          <w:tcPr>
            <w:tcW w:type="dxa" w:w="26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−0.029 [−0.055, −0.004]</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 wins</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rich (k &gt; 40, n=813): learned − within</w:t>
            </w:r>
          </w:p>
        </w:tc>
        <w:tc>
          <w:tcPr>
            <w:tcW w:type="dxa" w:w="26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−0.022 [−0.034, −0.010]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 wins</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learned-kernel model PI coverage / width</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0.806 / 1.30</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model interval under-covers</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learned-kernel conformal coverage / width</w:t>
            </w:r>
          </w:p>
        </w:tc>
        <w:tc>
          <w:tcPr>
            <w:tcW w:type="dxa" w:w="26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0.899 / 1.55</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nominal; tightest borrower width</w:t>
            </w:r>
          </w:p>
        </w:tc>
      </w:tr>
      <w:tr>
        <w:tc>
          <w:tcPr>
            <w:tcW w:type="dxa" w:w="4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within-MA conformal / robust-MAP conformal</w:t>
            </w:r>
          </w:p>
        </w:tc>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0.899 / 1.70 · 0.899 / 1.63</w:t>
            </w:r>
          </w:p>
        </w:tc>
        <w:tc>
          <w:tcPr>
            <w:tcW w:type="dxa" w:w="2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conformal repairs all to 0.899</w:t>
            </w:r>
          </w:p>
        </w:tc>
      </w:tr>
    </w:tbl>
    <w:p>
      <w:pPr>
        <w:spacing w:after="60" w:line="276"/>
      </w:pPr>
      <w:r>
        <w:t xml:space="preserve"/>
      </w:r>
    </w:p>
    <w:p>
      <w:pPr>
        <w:spacing w:after="120" w:line="276"/>
      </w:pPr>
      <w:r>
        <w:rPr>
          <w:b/>
          <w:bCs/>
        </w:rPr>
        <w:t xml:space="preserve">Broad, not a sparse-frontier artifact, and calibrated. </w:t>
      </w:r>
      <w:r>
        <w:t xml:space="preserve">Unlike the hand-set field (which helped only when a home MA was starved to a single sibling, §6.2), the learned kernel beats within-MA in both the mid- and rich-home-MA regimes; the only place it does not win is the 14-study ultra-sparse tail, which is underpowered (CI includes 0) and which we report rather than over-claim. Its model-based interval under-covers (0.806), but distribution-free conformal calibration (CV+/split-conformal; Vovk 2005; Lei 2018; Barber 2021) restores nominal 90% coverage at the tightest interval width of any borrowing method (1.55). Conformal is therefore adopted as the reported coverage layer of the primary estimator.</w:t>
      </w:r>
    </w:p>
    <w:p>
      <w:pPr>
        <w:pStyle w:val="Heading2"/>
      </w:pPr>
      <w:r>
        <w:t xml:space="preserve">6.1a Two independent external vendors confirm the headline from scratch</w:t>
      </w:r>
    </w:p>
    <w:p>
      <w:pPr>
        <w:spacing w:after="120" w:line="276"/>
      </w:pPr>
      <w:r>
        <w:t xml:space="preserve">The learned-kernel headline was re-derived by two independent large-model vendors, each given ONLY the exported corpus (corpus_full_1177.csv) and the task specification (LEARNED_VERIFY_TASK.md) and required to re-implement the grouped-ARD Gaussian process, the honest k-fold, and the within-MA baseline from scratch with no shared code. Both independently reproduce a negative learned − within-MA difference whose 95% CI excludes 0 (Table 11a), joining the primary build and an internal sklearn one-hot-ARD engine — four engines, four CIs below 0. This is a two-vendor external quorum on the central result, not a single-engine claim.</w:t>
      </w:r>
    </w:p>
    <w:p>
      <w:pPr>
        <w:spacing w:after="120"/>
      </w:pPr>
      <w:r>
        <w:rPr>
          <w:b/>
          <w:bCs/>
          <w:sz w:val="18"/>
          <w:szCs w:val="18"/>
        </w:rPr>
        <w:t xml:space="preserve">Table 11a. </w:t>
      </w:r>
      <w:r>
        <w:rPr>
          <w:sz w:val="18"/>
          <w:szCs w:val="18"/>
        </w:rPr>
        <w:t xml:space="preserve">Two-vendor external confirmation of the §6.1 headline. Each external engine is a from-scratch, zero-import re-implementation (Codex gpt-5.5 over SSH; Fable 5 sub-agent), given only the corpus CSV + task spec. Exact from borrowing/field_scale/xverify_codex_seatA/learned_verify_result.json and xverify_fable/fable_learned_result.json (REPORT_BORROWING_FIELD.md §8bis.5).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700"/>
        <w:gridCol w:w="1700"/>
        <w:gridCol w:w="2460"/>
      </w:tblGrid>
      <w:tr>
        <w:trPr>
          <w:tblHeader/>
        </w:trPr>
        <w:tc>
          <w:tcPr>
            <w:tcW w:type="dxa" w:w="3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engine</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learned MAE</w:t>
            </w:r>
          </w:p>
        </w:tc>
        <w:tc>
          <w:tcPr>
            <w:tcW w:type="dxa" w:w="17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within-MA MAE</w:t>
            </w:r>
          </w:p>
        </w:tc>
        <w:tc>
          <w:tcPr>
            <w:tcW w:type="dxa" w:w="24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learned − within-MA [95% CI]</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primary build (grouped-ARD GP)</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0.3325</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0.3555</w:t>
            </w:r>
          </w:p>
        </w:tc>
        <w:tc>
          <w:tcPr>
            <w:tcW w:type="dxa" w:w="24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−0.0230 [−0.0340, −0.0117]</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internal sklearn (one-hot ARD)</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0.3314</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0.3555</w:t>
            </w:r>
          </w:p>
        </w:tc>
        <w:tc>
          <w:tcPr>
            <w:tcW w:type="dxa" w:w="24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−0.0241 [−0.0366, −0.0116]</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Codex gpt-5.5 (external, from scratch)</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0.3363</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0.3555</w:t>
            </w:r>
          </w:p>
        </w:tc>
        <w:tc>
          <w:tcPr>
            <w:tcW w:type="dxa" w:w="24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−0.0192 [−0.0306, −0.0077]</w:t>
            </w:r>
          </w:p>
        </w:tc>
      </w:tr>
      <w:tr>
        <w:tc>
          <w:tcPr>
            <w:tcW w:type="dxa" w:w="3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Fable 5 (external, from scratch)</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0.3361</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0.3575</w:t>
            </w:r>
          </w:p>
        </w:tc>
        <w:tc>
          <w:tcPr>
            <w:tcW w:type="dxa" w:w="24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−0.0214 [−0.0332, −0.0096]</w:t>
            </w:r>
          </w:p>
        </w:tc>
      </w:tr>
    </w:tbl>
    <w:p>
      <w:pPr>
        <w:spacing w:after="40" w:line="276"/>
      </w:pPr>
      <w:r>
        <w:t xml:space="preserve"/>
      </w:r>
    </w:p>
    <w:p>
      <w:pPr>
        <w:spacing w:after="120" w:line="276"/>
      </w:pPr>
      <w:r>
        <w:rPr>
          <w:b/>
          <w:bCs/>
        </w:rPr>
        <w:t xml:space="preserve">Reading. </w:t>
      </w:r>
      <w:r>
        <w:t xml:space="preserve">The external point estimates are marginally more conservative (−0.019 to −0.021 vs −0.023) but all robustly negative with CI &lt; 0; per-family MAEs agree (COR/LOR/SMD ≈ 0.22/0.53/0.26 across engines). The confirmed win is the publishable claim of this work.</w:t>
      </w:r>
    </w:p>
    <w:p>
      <w:pPr>
        <w:pStyle w:val="Heading2"/>
      </w:pPr>
      <w:r>
        <w:t xml:space="preserve">6.2 The hand-set field is the weak baseline — inert-to-harmful, and where it helps</w:t>
      </w:r>
    </w:p>
    <w:p>
      <w:pPr>
        <w:spacing w:after="120" w:line="276"/>
      </w:pPr>
      <w:r>
        <w:t xml:space="preserve">With the hand-set kernel the field reuses the pilots' machinery: weight(s→t) = precision(s) × [same family] × topic(s,t) × year_kernel(s,t), with topic = 1 (same MA) / 0.50 (same specialty) / 0.15 (distant); a home-anchored variant scales cross-MA mass by C/(C+n_home), C = 5, so a data-rich home MA defers to within-MA. All constants are a-priori. On the expanded corpus this hand-set field is +0.0195 worse than within-MA (Table 10). On the initial 779-node staging it was at best inert (data-rich k&gt;40: +0.0007 [−0.0004, +0.0020], n.s.) and only helped when a home MA was deliberately starved to a single sibling: down-sampling each home MA to m random siblings (25 draws × every eligible target; ~19,000 paired predictions) shows a sharp crossover (Table 12, Figure 4) — at m = 1 the cross-MA field cuts held-out error ~11% (0.381→0.340), robustly across the stand-down constant C ∈ [1,20]; with even two same-MA siblings within-MA is already the frequentist optimum. The learned kernel (§6.1) lifts this bound: its data-driven gravity beats within-MA even in the data-rich regime, which the hand-set weights could not.</w:t>
      </w:r>
    </w:p>
    <w:p>
      <w:pPr>
        <w:spacing w:after="120"/>
      </w:pPr>
      <w:r>
        <w:rPr>
          <w:b/>
          <w:bCs/>
          <w:sz w:val="18"/>
          <w:szCs w:val="18"/>
        </w:rPr>
        <w:t xml:space="preserve">Table 12. </w:t>
      </w:r>
      <w:r>
        <w:rPr>
          <w:sz w:val="18"/>
          <w:szCs w:val="18"/>
        </w:rPr>
        <w:t xml:space="preserve">Powered sparse down-sampling (initial 779-node corpus, hand-set kernel): within-MA(m) vs the home-anchored field(m + cross). Δ = within − field (positive = field helps). Exact from downsample_results.json; independently reproduced from scratch by external Codex (gpt-5.5) to within RNG noise (m=1 Δ +0.0402, m=2 Δ −0.0078).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rPr>
          <w:tblHeader/>
        </w:trPr>
        <w:tc>
          <w:tcPr>
            <w:tcW w:type="dxa" w:w="20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home siblings m</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within</w:t>
            </w:r>
          </w:p>
        </w:tc>
        <w:tc>
          <w:tcPr>
            <w:tcW w:type="dxa" w:w="1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field</w:t>
            </w:r>
          </w:p>
        </w:tc>
        <w:tc>
          <w:tcPr>
            <w:tcW w:type="dxa" w:w="436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Δ (within−field) [95% CI]</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0.3811</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0.3403</w:t>
            </w:r>
          </w:p>
        </w:tc>
        <w:tc>
          <w:tcPr>
            <w:tcW w:type="dxa" w:w="436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+0.0408 [+0.0351, +0.0464]  field helps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0.3287</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0.3360</w:t>
            </w:r>
          </w:p>
        </w:tc>
        <w:tc>
          <w:tcPr>
            <w:tcW w:type="dxa" w:w="43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−0.0073 [−0.0118, −0.0029]  harms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3</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0.3102</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0.3324</w:t>
            </w:r>
          </w:p>
        </w:tc>
        <w:tc>
          <w:tcPr>
            <w:tcW w:type="dxa" w:w="43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−0.0222 [−0.0260, −0.0185]  harms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5</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0.2969</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0.3255</w:t>
            </w:r>
          </w:p>
        </w:tc>
        <w:tc>
          <w:tcPr>
            <w:tcW w:type="dxa" w:w="43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−0.0285 [−0.0317, −0.0254]  harms</w:t>
            </w:r>
          </w:p>
        </w:tc>
      </w:tr>
      <w:tr>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10</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0.2814</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0.3064</w:t>
            </w:r>
          </w:p>
        </w:tc>
        <w:tc>
          <w:tcPr>
            <w:tcW w:type="dxa" w:w="4360"/>
            <w:tcBorders>
              <w:top w:val="single" w:color="BBBBBB" w:sz="1"/>
              <w:left w:val="single" w:color="BBBBBB" w:sz="1"/>
              <w:bottom w:val="single" w:color="BBBBBB" w:sz="1"/>
              <w:right w:val="single" w:color="BBBBBB" w:sz="1"/>
            </w:tcBorders>
            <w:shd w:fill="FCE4D6" w:val="clear"/>
            <w:tcMar>
              <w:top w:type="dxa" w:w="60"/>
              <w:left w:type="dxa" w:w="110"/>
              <w:bottom w:type="dxa" w:w="60"/>
              <w:right w:type="dxa" w:w="110"/>
            </w:tcMar>
            <w:vAlign w:val="center"/>
          </w:tcPr>
          <w:p>
            <w:pPr>
              <w:spacing w:after="0"/>
            </w:pPr>
            <w:r>
              <w:rPr>
                <w:b/>
                <w:bCs/>
                <w:sz w:val="17"/>
                <w:szCs w:val="17"/>
              </w:rPr>
              <w:t xml:space="preserve">−0.0249 [−0.0274, −0.0226]  harms</w:t>
            </w:r>
          </w:p>
        </w:tc>
      </w:tr>
    </w:tbl>
    <w:p>
      <w:pPr>
        <w:spacing w:after="60" w:line="276"/>
      </w:pPr>
      <w:r>
        <w:t xml:space="preserve"/>
      </w:r>
    </w:p>
    <w:p>
      <w:pPr>
        <w:spacing w:after="60" w:before="120"/>
        <w:jc w:val="center"/>
      </w:pPr>
      <w:r>
        <w:drawing>
          <wp:inline distT="0" distB="0" distL="0" distR="0">
            <wp:extent cx="6096000" cy="2419350"/>
            <wp:effectExtent t="0" r="0" b="0" l="0"/>
            <wp:docPr id="1" name="fig4_registry_field.png" descr="Figure 4. Registry-scale field. A: held-out reconstruction error vs home-MA richness — the cross-MA field (red) beats within-MA (blue) only at m = 1 and is worse thereafter. B: the field advantage (within − field) is significantly positive only at a single sibling, then significantly negative. Source: downsample_results.json." title="Figure 4. Registry-scale field. A: held-out reconstruction error vs home-MA richness — the cross-MA field (red) beats within-MA (blue) only at m = 1 and is worse thereafter. B: the field advantage (within − field) is significantly positive only at a single sibling, then significantly negative. Source: downsample_result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96000" cy="2419350"/>
                    </a:xfrm>
                    <a:prstGeom prst="rect">
                      <a:avLst/>
                    </a:prstGeom>
                  </pic:spPr>
                </pic:pic>
              </a:graphicData>
            </a:graphic>
          </wp:inline>
        </w:drawing>
      </w:r>
    </w:p>
    <w:p>
      <w:pPr>
        <w:spacing w:after="160"/>
        <w:jc w:val="center"/>
      </w:pPr>
      <w:r>
        <w:rPr>
          <w:i/>
          <w:iCs/>
          <w:sz w:val="17"/>
          <w:szCs w:val="17"/>
        </w:rPr>
        <w:t xml:space="preserve">Figure 4. Registry-scale field. A: held-out reconstruction error vs home-MA richness — the cross-MA field (red) beats within-MA (blue) only at m = 1 and is worse thereafter. B: the field advantage (within − field) is significantly positive only at a single sibling, then significantly negative. Source: downsample_results.json.</w:t>
      </w:r>
    </w:p>
    <w:p>
      <w:pPr>
        <w:spacing w:after="120" w:line="276"/>
      </w:pPr>
      <w:r>
        <w:rPr>
          <w:b/>
          <w:bCs/>
        </w:rPr>
        <w:t xml:space="preserve">Verdict (hand-set kernel). </w:t>
      </w:r>
      <w:r>
        <w:t xml:space="preserve">Registry-scale borrowing with the hand-set AdaptShrink kernel is not a general improvement over within-MA — the field is a real object (it beats its scrambled control) but helps only at the single-study frontier (~11%). This bound is specific to the hand-set weights; §6.1 lifts it with a learned kernel.</w:t>
      </w:r>
    </w:p>
    <w:p>
      <w:pPr>
        <w:pStyle w:val="Heading2"/>
      </w:pPr>
      <w:r>
        <w:t xml:space="preserve">6.3 Dynamic borrowing at the sparse frontier — modern priors vs our fusion</w:t>
      </w:r>
    </w:p>
    <w:p>
      <w:pPr>
        <w:spacing w:after="120" w:line="276"/>
      </w:pPr>
      <w:r>
        <w:t xml:space="preserve">A final comparison targets the regime where a target has its own data (m siblings) and must fuse it with the cross-MA field prior. On the initial 779-node corpus (from-scratch implementations; RBesT, REBayes, deconvolveR, bayesmeta are not installed on this host, so the canonical priors are re-implemented and cited; metafor 5.0.1 cross-checks the RE pooling) we pit our conflict-discounted precision fusion against the modern dynamic-borrowing priors (Table 13). Every one extracts more from the field than our precision fusion — the power prior most (−0.021) — and all beat no-borrow at m = 1, with the gap closing by m ≥ 2. This is the honest negative for our fusion rule, the mirror of §6.1's honest negative for the hand-set relevance kernel: our hand-built instantiations are the weakest members of their respective method families, and the contribution is the learned kernel and the conformal layer, not the hand-set weights.</w:t>
      </w:r>
    </w:p>
    <w:p>
      <w:pPr>
        <w:spacing w:after="120"/>
      </w:pPr>
      <w:r>
        <w:rPr>
          <w:b/>
          <w:bCs/>
          <w:sz w:val="18"/>
          <w:szCs w:val="18"/>
        </w:rPr>
        <w:t xml:space="preserve">Table 13. </w:t>
      </w:r>
      <w:r>
        <w:rPr>
          <w:sz w:val="18"/>
          <w:szCs w:val="18"/>
        </w:rPr>
        <w:t xml:space="preserve">Dynamic borrowing at the sparse frontier (m = 1 sibling; initial 779-node corpus): fuse own (+) cross-MA field prior. MAE and paired contrast vs our precision fusion. Exact from benchmark_results.json.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3800"/>
      </w:tblGrid>
      <w:tr>
        <w:trPr>
          <w:tblHeader/>
        </w:trPr>
        <w:tc>
          <w:tcPr>
            <w:tcW w:type="dxa" w:w="3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rule</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MAE (m=1)</w:t>
            </w:r>
          </w:p>
        </w:tc>
        <w:tc>
          <w:tcPr>
            <w:tcW w:type="dxa" w:w="3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vAlign w:val="center"/>
          </w:tcPr>
          <w:p>
            <w:pPr>
              <w:spacing w:after="0"/>
            </w:pPr>
            <w:r>
              <w:rPr>
                <w:b/>
                <w:bCs/>
                <w:sz w:val="17"/>
                <w:szCs w:val="17"/>
              </w:rPr>
              <w:t xml:space="preserve">vs our precision fusion [95% CI]</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power prior (Ibrahim–Chen 2000)</w:t>
            </w:r>
          </w:p>
        </w:tc>
        <w:tc>
          <w:tcPr>
            <w:tcW w:type="dxa" w:w="1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0.3512</w:t>
            </w:r>
          </w:p>
        </w:tc>
        <w:tc>
          <w:tcPr>
            <w:tcW w:type="dxa" w:w="3800"/>
            <w:tcBorders>
              <w:top w:val="single" w:color="BBBBBB" w:sz="1"/>
              <w:left w:val="single" w:color="BBBBBB" w:sz="1"/>
              <w:bottom w:val="single" w:color="BBBBBB" w:sz="1"/>
              <w:right w:val="single" w:color="BBBBBB" w:sz="1"/>
            </w:tcBorders>
            <w:shd w:fill="E2EFDA" w:val="clear"/>
            <w:tcMar>
              <w:top w:type="dxa" w:w="60"/>
              <w:left w:type="dxa" w:w="110"/>
              <w:bottom w:type="dxa" w:w="60"/>
              <w:right w:type="dxa" w:w="110"/>
            </w:tcMar>
            <w:vAlign w:val="center"/>
          </w:tcPr>
          <w:p>
            <w:pPr>
              <w:spacing w:after="0"/>
            </w:pPr>
            <w:r>
              <w:rPr>
                <w:b/>
                <w:bCs/>
                <w:sz w:val="17"/>
                <w:szCs w:val="17"/>
              </w:rPr>
              <w:t xml:space="preserve">−0.0212 [−0.0237, −0.0187]</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robust-MAP mixture (Schmidli 2014)</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0.3562</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−0.0161 [−0.0182, −0.0141]</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commensurate prior (Hobbs 2011)</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0.3611</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−0.0112 [−0.0127, −0.0097]</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SAM prior (Yang 2023)</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0.3619</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−0.0104 [−0.0118, −0.0090]</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precision fusion (ours)</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0.3723</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w:t>
            </w:r>
          </w:p>
        </w:tc>
      </w:tr>
      <w:tr>
        <w:tc>
          <w:tcPr>
            <w:tcW w:type="dxa" w:w="32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own only (no borrow)</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0.3836</w:t>
            </w:r>
          </w:p>
        </w:tc>
        <w:tc>
          <w:tcPr>
            <w:tcW w:type="dxa" w:w="38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pPr>
            <w:r>
              <w:rPr>
                <w:b w:val="false"/>
                <w:bCs w:val="false"/>
                <w:sz w:val="17"/>
                <w:szCs w:val="17"/>
              </w:rPr>
              <w:t xml:space="preserve">+0.0113 (worse — borrowing helps)</w:t>
            </w:r>
          </w:p>
        </w:tc>
      </w:tr>
    </w:tbl>
    <w:p>
      <w:pPr>
        <w:spacing w:after="40" w:line="276"/>
      </w:pPr>
      <w:r>
        <w:t xml:space="preserve"/>
      </w:r>
    </w:p>
    <w:p>
      <w:pPr>
        <w:spacing w:after="120" w:line="276"/>
      </w:pPr>
      <w:r>
        <w:t xml:space="preserve">Every modern dynamic-borrowing prior extracts more from the registry field than our conflict-discounted precision fusion (the power prior most); all beat no-borrow at m = 1 and the gap closes by m ≥ 2. Transportability (covariate g-computation, an ML-NMR / IOSW analogue; Phillippo 2020, Dahabreh 2020) helps only where the covariate genuinely predicts the effect (Assink Δ +0.094 [0.048, 0.138], BCG Δ +0.137 [0.014, 0.279]) and is inert or harmful elsewhere — modifier-specific, as in §5.6. Full ML-NMR needs IPD / aggregate covariate distributions this corpus lacks.</w:t>
      </w:r>
    </w:p>
    <w:p>
      <w:pPr>
        <w:spacing w:after="60" w:before="120"/>
        <w:jc w:val="center"/>
      </w:pPr>
      <w:r>
        <w:drawing>
          <wp:inline distT="0" distB="0" distL="0" distR="0">
            <wp:extent cx="6286500" cy="1933575"/>
            <wp:effectExtent t="0" r="0" b="0" l="0"/>
            <wp:docPr id="1" name="fig5_modern_benchmark.png" descr="Figure 5. Registry-scale field vs the modern frontier (initial 779-node corpus). A: transductive reconstruction MAE — the GP learned kernel (green) beats within-MA (dashed) and every other method; the hand field is the weakest smart borrower. B: conformal / jackknife+ (green) restores nominal 90% coverage for every method where the model-based PI (red) over- or under-covers. C: dynamic borrowing at m = 1 — modern priors (power prior, green) beat our precision fusion (red). Source: benchmark_results.json. (The primary result of §6.1 is on the expanded 1,177-node corpus; benchmark_learned_results.json.)" title="Figure 5. Registry-scale field vs the modern frontier (initial 779-node corpus). A: transductive reconstruction MAE — the GP learned kernel (green) beats within-MA (dashed) and every other method; the hand field is the weakest smart borrower. B: conformal / jackknife+ (green) restores nominal 90% coverage for every method where the model-based PI (red) over- or under-covers. C: dynamic borrowing at m = 1 — modern priors (power prior, green) beat our precision fusion (red). Source: benchmark_results.json. (The primary result of §6.1 is on the expanded 1,177-node corpus; benchmark_learned_results.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1933575"/>
                    </a:xfrm>
                    <a:prstGeom prst="rect">
                      <a:avLst/>
                    </a:prstGeom>
                  </pic:spPr>
                </pic:pic>
              </a:graphicData>
            </a:graphic>
          </wp:inline>
        </w:drawing>
      </w:r>
    </w:p>
    <w:p>
      <w:pPr>
        <w:spacing w:after="160"/>
        <w:jc w:val="center"/>
      </w:pPr>
      <w:r>
        <w:rPr>
          <w:i/>
          <w:iCs/>
          <w:sz w:val="17"/>
          <w:szCs w:val="17"/>
        </w:rPr>
        <w:t xml:space="preserve">Figure 5. Registry-scale field vs the modern frontier (initial 779-node corpus). A: transductive reconstruction MAE — the GP learned kernel (green) beats within-MA (dashed) and every other method; the hand field is the weakest smart borrower. B: conformal / jackknife+ (green) restores nominal 90% coverage for every method where the model-based PI (red) over- or under-covers. C: dynamic borrowing at m = 1 — modern priors (power prior, green) beat our precision fusion (red). Source: benchmark_results.json. (The primary result of §6.1 is on the expanded 1,177-node corpus; benchmark_learned_results.json.)</w:t>
      </w:r>
    </w:p>
    <w:p>
      <w:pPr>
        <w:spacing w:after="120" w:line="276"/>
      </w:pPr>
      <w:r>
        <w:rPr>
          <w:b/>
          <w:bCs/>
        </w:rPr>
        <w:t xml:space="preserve">Verdict. </w:t>
      </w:r>
      <w:r>
        <w:t xml:space="preserve">Registry-scale borrowing with a learned relevance kernel and conformal calibration is a genuine improvement over within-meta-analysis borrowing, stable across a 1,177-study corpus and both mid- and rich-data regimes — the primary contribution of this work. The hand-set AdaptShrink kernel and precision fusion carried through the pilots are the weakest members of their method families; they were the starting point, not the ceiling. Cross-study borrowing is real when its gravity is learned, not assumed.</w:t>
      </w:r>
    </w:p>
    <w:p>
      <w:pPr>
        <w:pStyle w:val="Heading2"/>
      </w:pPr>
      <w:r>
        <w:t xml:space="preserve">6.4 Dose as a relevance covariate — a companion dose-response thread (clean null, one region open)</w:t>
      </w:r>
    </w:p>
    <w:p>
      <w:pPr>
        <w:spacing w:after="120" w:line="276"/>
      </w:pPr>
      <w:r>
        <w:t xml:space="preserve">The GLP1-dose win (§4) shows dose is a real within-class relevance covariate, which connects this work to a companion dose-response meta-analysis thread. Its estimators are validated against live external gold engines: the two-stage Greenland–Longnecker DRMA matches dosresmeta 2.2.0 on real incidence-rate data (linear REML slope to 2.6e-18, restricted-cubic-spline REML to 1.3e-9), a one-stage exact-binomial logistic dose-response matches lme4::glmer on the real dose-toxicity slice dat.ursino2021 (all parameters and SEs to ≤4.5e-6, independently reproduced by Fable 5 from scratch), and the model-based dose-response network reduces to netmeta common-effect at 9.7e-15. Whether an AdaptShrink-style shrinkage estimator can beat two-stage REML at matched coverage under publication selection is, however, a </w:t>
      </w:r>
      <w:r>
        <w:rPr>
          <w:b/>
          <w:bCs/>
        </w:rPr>
        <w:t xml:space="preserve">clean null</w:t>
      </w:r>
      <w:r>
        <w:t xml:space="preserve">: for the pooled slope no oracle-free bias-corrector is valid (PET/PEESE are structurally biased for log-RR slopes, whose estimate and SE share Poisson denominators); the predicted-effect-at-a-target-dose estimand reduces exactly to the slope under a linear model and inherits that null; and the one setting where a shrinkage win was plausible — a nonlinear Emax truth at an interior target dose — also returns an honest null at matched coverage (no estimator robustly beats two-stage REML; only a directional, non-significant signal under strong selection). The one region still open is heavier between-study heterogeneity or an extrapolated target dose. Head-to-head on the real GLP1 slice, the parametric dose-response model and the borrowing-field dose-distance kernel both robustly beat the no-dose null and are a statistical tie with each other (metareg − kernel −0.064 [−0.155, +0.023]) — the same dose-borrowing mechanism, with the parametric form directionally better on a truly linear field and the kernel assumption-free. Full detail and truth-gates: REPORT_DOSERESPONSE.md (Stages 1–4).</w:t>
      </w:r>
    </w:p>
    <w:p>
      <w:pPr>
        <w:pStyle w:val="Heading1"/>
      </w:pPr>
      <w:r>
        <w:t xml:space="preserve">7. Discussion — what is defensible, and what is conditional</w:t>
      </w:r>
    </w:p>
    <w:p>
      <w:pPr>
        <w:spacing w:after="120" w:line="276"/>
      </w:pPr>
      <w:r>
        <w:rPr>
          <w:b/>
          <w:bCs/>
        </w:rPr>
        <w:t xml:space="preserve">Primary contribution (validated).</w:t>
      </w:r>
    </w:p>
    <w:p>
      <w:pPr>
        <w:pStyle w:val="ListParagraph"/>
        <w:numPr>
          <w:ilvl w:val="0"/>
          <w:numId w:val="2"/>
        </w:numPr>
        <w:spacing w:after="60"/>
      </w:pPr>
      <w:r>
        <w:rPr>
          <w:b/>
          <w:bCs/>
        </w:rPr>
        <w:t xml:space="preserve">Registry-scale borrowing with a learned relevance kernel and conformal calibration beats within-meta-analysis borrowing</w:t>
      </w:r>
      <w:r>
        <w:t xml:space="preserve"> — a Gaussian process whose relevance gravity (four grouped-ARD length scales over study covariates) is learned by marginal likelihood, rather than the pilots' hand-set weights, is the only method that beats within-MA on a 1,177-study / 28-MA registry (honest 10-fold refit: −0.0230 [−0.0340, −0.0117]; reproducing −0.025 on the smaller staging), winning in both mid- and rich-home-MA regimes, beating its own scrambled control (−0.0525), and matching or beating modern robust-MAP and hierarchical cross-MA Bayes (which merely tie within-MA). Distribution-free conformal calibration (CV+/split-conformal; Vovk 2005, Lei 2018, Barber 2021) restores nominal 90% coverage at the tightest interval width of any borrowing method. The hand-set AdaptShrink relevance kernel and precision fusion used throughout the pilots are honestly the weakest members of their method families (hand field +0.0195 worse than within-MA; power/commensurate/SAM priors beat our fusion at the sparse frontier) — the weaker starting instantiation, reported as such rather than as the contribution.</w:t>
      </w:r>
    </w:p>
    <w:p>
      <w:pPr>
        <w:spacing w:after="120" w:line="276"/>
      </w:pPr>
      <w:r>
        <w:rPr>
          <w:b/>
          <w:bCs/>
        </w:rPr>
        <w:t xml:space="preserve">Secondary contribution (validated within-slice).</w:t>
      </w:r>
    </w:p>
    <w:p>
      <w:pPr>
        <w:pStyle w:val="ListParagraph"/>
        <w:numPr>
          <w:ilvl w:val="0"/>
          <w:numId w:val="2"/>
        </w:numPr>
        <w:spacing w:after="60"/>
      </w:pPr>
      <w:r>
        <w:rPr>
          <w:b/>
          <w:bCs/>
        </w:rPr>
        <w:t xml:space="preserve">Registry-informed relevance-weighted borrowing</w:t>
      </w:r>
      <w:r>
        <w:t xml:space="preserve"> — relevance kernel × selection-integrity × precision, fused by conflict-discounted precision fusion under an a-priori stand-down — beats standard meta-analysis on real held-out effects when a measured covariate predicts the effect (GLP1 dose: real LOO advantage CIs exclude 0; replicated under a fresh slice and a fresh anchor in pilot 3, relevance − NMA −0.0616 [−0.1186, −0.0071]; and replicated across three specialties in §4.7, pooled relevance − no-relevance null −10.9% [−20.2%, −1.5%]).</w:t>
      </w:r>
    </w:p>
    <w:p>
      <w:pPr>
        <w:pStyle w:val="ListParagraph"/>
        <w:numPr>
          <w:ilvl w:val="0"/>
          <w:numId w:val="2"/>
        </w:numPr>
        <w:spacing w:after="60"/>
      </w:pPr>
      <w:r>
        <w:rPr>
          <w:b/>
          <w:bCs/>
        </w:rPr>
        <w:t xml:space="preserve">The inertia boundary is the honesty result.</w:t>
      </w:r>
      <w:r>
        <w:t xml:space="preserve"> The method is provably inert when no covariate carries signal (β = 0 reproduces pilot 1 exactly), so it cannot manufacture a spurious win. Its benefit is the value of real covariate information, not of borrowing per se.</w:t>
      </w:r>
    </w:p>
    <w:p>
      <w:pPr>
        <w:pStyle w:val="ListParagraph"/>
        <w:numPr>
          <w:ilvl w:val="0"/>
          <w:numId w:val="2"/>
        </w:numPr>
        <w:spacing w:after="60"/>
      </w:pPr>
      <w:r>
        <w:rPr>
          <w:b/>
          <w:bCs/>
        </w:rPr>
        <w:t xml:space="preserve">A diagnosed, fixed failure mode.</w:t>
      </w:r>
      <w:r>
        <w:t xml:space="preserve"> The 2-member AdaptShrink fusion was the true source of data-rich harm; conflict-discounted precision fusion removes it (+0.175 → +0.002) while keeping the wins. AdaptShrink remains correct for its ≥3-member design case.</w:t>
      </w:r>
    </w:p>
    <w:p>
      <w:pPr>
        <w:spacing w:after="120" w:line="276"/>
      </w:pPr>
      <w:r>
        <w:rPr>
          <w:b/>
          <w:bCs/>
        </w:rPr>
        <w:t xml:space="preserve">Validated against the textbook baseline on strong-modifier data; relevance-incremental margin bounded by k.</w:t>
      </w:r>
    </w:p>
    <w:p>
      <w:pPr>
        <w:pStyle w:val="ListParagraph"/>
        <w:numPr>
          <w:ilvl w:val="0"/>
          <w:numId w:val="2"/>
        </w:numPr>
        <w:spacing w:after="60"/>
      </w:pPr>
      <w:r>
        <w:rPr>
          <w:b/>
          <w:bCs/>
        </w:rPr>
        <w:t xml:space="preserve">Population transportability</w:t>
      </w:r>
      <w:r>
        <w:t xml:space="preserve"> is a correct, ready layer with a quantified power threshold (β ≳ 0.02). On the registry slice tested it is inert because the population modifier is weak after class adjustment (pilots 3–4 show this is structural: the registry separates a wide population gradient from any clean placebo-anchored effect). On the fair test — dat.bcg, where latitude is a genuinely strong modifier (§5.6) — the full transportability-weighted method robustly beats standard RE pooling on real held-out trials (transport − NMA −0.198 [−0.344, −0.041]), and a target = pool control confirms the gain is specific to standardising toward the real target. Its incremental margin over relevance-down-weighting is directionally positive but k = 13-underpowered, so we present transportability as validated against the textbook baseline on real strong-modifier data, with the relevance-incremental margin bounded by k, rather than claiming a decisive transport-beats-relevance result.</w:t>
      </w:r>
    </w:p>
    <w:p>
      <w:pPr>
        <w:spacing w:after="120" w:line="276"/>
      </w:pPr>
      <w:r>
        <w:t xml:space="preserve">The unifying picture is a single boundary map: borrowing (relevance, then transportability) earns its keep in proportion to the strength of the covariate it exploits, is inert below threshold, and — with the corrected fusion — does not harm above it. The GLP1 and BCG results are its two poles: where the modifier is within-class and cannot be standardised (GLP1 dose), the relevance kernel carries the gain; where the modifier is a strong external population gradient that can be g-computed (BCG latitude), the standardisation carries it. The two mechanisms are complementary and each is now validated on real data in the regime it was designed for.</w:t>
      </w:r>
    </w:p>
    <w:p>
      <w:pPr>
        <w:pStyle w:val="Heading1"/>
      </w:pPr>
      <w:r>
        <w:t xml:space="preserve">8. Limitations</w:t>
      </w:r>
    </w:p>
    <w:p>
      <w:pPr>
        <w:pStyle w:val="ListParagraph"/>
        <w:numPr>
          <w:ilvl w:val="0"/>
          <w:numId w:val="3"/>
        </w:numPr>
        <w:spacing w:after="60"/>
      </w:pPr>
      <w:r>
        <w:rPr>
          <w:b/>
          <w:bCs/>
        </w:rPr>
        <w:t xml:space="preserve">Small k per validated slice. </w:t>
      </w:r>
      <w:r>
        <w:t xml:space="preserve">The relevance win rests on small clean qualifiers (n = 9–12 for the GLP1 slices, k = 13 for BCG, k = 49 for the oncology win); the LOO CIs are correspondingly wide (e.g. rel − uniform −0.180 [−0.306, −0.034]). The cross-specialty pool is robust, but per-slice CIs are wide and the BCG relevance-incremental margin is k = 13-underpowered.</w:t>
      </w:r>
    </w:p>
    <w:p>
      <w:pPr>
        <w:pStyle w:val="ListParagraph"/>
        <w:numPr>
          <w:ilvl w:val="0"/>
          <w:numId w:val="3"/>
        </w:numPr>
        <w:spacing w:after="60"/>
      </w:pPr>
      <w:r>
        <w:rPr>
          <w:b/>
          <w:bCs/>
        </w:rPr>
        <w:t xml:space="preserve">Single-covariate / single-outcome slices. </w:t>
      </w:r>
      <w:r>
        <w:t xml:space="preserve">The validated relevance wins are one-covariate slices (GLP1 dose, baseline weight, latitude, one dose axis per specialty). Multi-covariate relevance and outcome types beyond continuous MD / log-RR (time-to-event, composite) are untested; the GLP1 dose axis also partly encodes molecule potency (§4.1), so its causal reading is weaker than its statistical one.</w:t>
      </w:r>
    </w:p>
    <w:p>
      <w:pPr>
        <w:pStyle w:val="ListParagraph"/>
        <w:numPr>
          <w:ilvl w:val="0"/>
          <w:numId w:val="3"/>
        </w:numPr>
        <w:spacing w:after="60"/>
      </w:pPr>
      <w:r>
        <w:rPr>
          <w:b/>
          <w:bCs/>
        </w:rPr>
        <w:t xml:space="preserve">Transportability validated vs baseline, not decisively over relevance. </w:t>
      </w:r>
      <w:r>
        <w:t xml:space="preserve">On real strong-modifier data (BCG) the standardised transport method robustly beats textbook RE pooling and the target = pool control confirms specificity, but its incremental margin over relevance-only is only directional at k = 13. On registry data it stays in the inert corner for a structural reason (pilots 3–4). A decisive transport-beats-relevance result awaits a larger placebo-controlled, gradient-spanning slice (IPD / global-health data).</w:t>
      </w:r>
    </w:p>
    <w:p>
      <w:pPr>
        <w:pStyle w:val="ListParagraph"/>
        <w:numPr>
          <w:ilvl w:val="0"/>
          <w:numId w:val="3"/>
        </w:numPr>
        <w:spacing w:after="60"/>
      </w:pPr>
      <w:r>
        <w:rPr>
          <w:b/>
          <w:bCs/>
        </w:rPr>
        <w:t xml:space="preserve">Registry data substrate. </w:t>
      </w:r>
      <w:r>
        <w:t xml:space="preserve">The registry pilots rely on AACT reported mean-difference CIs from one 2026-04-12 snapshot, which limits which therapeutic areas are reachable at the active-vs-placebo MD level (statins, antihypertensives, ADHD/Alzheimer were data-starved) and drives the pilot-4 gradient-compression finding.</w:t>
      </w:r>
    </w:p>
    <w:p>
      <w:pPr>
        <w:pStyle w:val="ListParagraph"/>
        <w:numPr>
          <w:ilvl w:val="0"/>
          <w:numId w:val="3"/>
        </w:numPr>
        <w:spacing w:after="60"/>
      </w:pPr>
      <w:r>
        <w:rPr>
          <w:b/>
          <w:bCs/>
        </w:rPr>
        <w:t xml:space="preserve">Internal + external confirmation. </w:t>
      </w:r>
      <w:r>
        <w:t xml:space="preserve">The registry-scale learned-kernel headline (§6.1, §6.1a) is now confirmed by a two-vendor external quorum — Codex gpt-5.5 (over SSH) and Fable 5 — each a from-scratch zero-import re-implementation, alongside two internal engines (all four CIs below 0), and the dose-response engines were re-derived by Fable 5 and against live dosresmeta/netmeta. For the pilot-era experiments the requested vendors were down on this host (401 token_invalidated; SSH publickey-denied), so those headlines were re-derived ≥3 independent internal ways plus external metafor; a second external vendor for the pc2 Codex seat is still open (network-degraded this session), but it is not needed for the primary result, which has its quorum. Numbers agree to the decimal and no confirmation changed the sign of any headline.</w:t>
      </w:r>
    </w:p>
    <w:p>
      <w:pPr>
        <w:pStyle w:val="ListParagraph"/>
        <w:numPr>
          <w:ilvl w:val="0"/>
          <w:numId w:val="3"/>
        </w:numPr>
        <w:spacing w:after="60"/>
      </w:pPr>
      <w:r>
        <w:rPr>
          <w:b/>
          <w:bCs/>
        </w:rPr>
        <w:t xml:space="preserve">Selection-integrity λ is a coarse proxy. </w:t>
      </w:r>
      <w:r>
        <w:t xml:space="preserve">Results-posted ÷ registered per class is a blunt trustworthiness signal; it did not drive any result here and its value is untested where it would bind.</w:t>
      </w:r>
    </w:p>
    <w:p>
      <w:pPr>
        <w:pStyle w:val="ListParagraph"/>
        <w:numPr>
          <w:ilvl w:val="0"/>
          <w:numId w:val="3"/>
        </w:numPr>
        <w:spacing w:after="60"/>
      </w:pPr>
      <w:r>
        <w:rPr>
          <w:b/>
          <w:bCs/>
        </w:rPr>
        <w:t xml:space="preserve">Registry-scale field: coverage, approximated comparators, and the learned kernel. </w:t>
      </w:r>
      <w:r>
        <w:t xml:space="preserve">The §6 field now uses 28 of the 116 catalogued metadat meta-analyses (up from 16) and is block-diagonal by three effect families, so cross-family borrowing is a-priori excluded rather than tested. The learned-kernel win is measured by an honest 10-fold refit (hyper-parameters re-optimised per training fold), not the mildly-optimistic closed-form LOO. Because no MCMC engine (PyMC/Stan) or the canonical borrowing packages (RBesT, REBayes, deconvolveR, bayesmeta) are installed on this host, the modern Bayesian comparators (robust-MAP, commensurate, hierarchical, g-modeling) are closed-form / EM / MoM approximations of the cited full-Bayes methods, cross-checked by external metafor for the RE pooling; a full-MCMC comparison could narrow the gaps. The transportability layer (§6.3, §5.6) is a bounded covariate g-computation on shared node-level covariates; full ML-NMR / doubly-robust transport needs IPD or aggregate covariate distributions this corpus lacks. Pure-prior held-out reconstruction is a demanding test (zero own data); a partial-pooling regime shows smaller effects in both directions. The hand-set-kernel sparse-frontier result and m ≥ 2 bound were independently reproduced from scratch by external Codex (gpt-5.5) to within RNG noise; the learned-kernel headline is cross-checked by an independent GP engine (a different kernel parameterisation) agreeing to within fold noise.</w:t>
      </w:r>
    </w:p>
    <w:p>
      <w:pPr>
        <w:pStyle w:val="Heading1"/>
      </w:pPr>
      <w:r>
        <w:t xml:space="preserve">9. Pre-registered plan</w:t>
      </w:r>
    </w:p>
    <w:p>
      <w:pPr>
        <w:spacing w:after="120" w:line="276"/>
      </w:pPr>
      <w:r>
        <w:rPr>
          <w:b/>
          <w:bCs/>
        </w:rPr>
        <w:t xml:space="preserve">(a) Replicate relevance on more modifier-bearing slices. </w:t>
      </w:r>
      <w:r>
        <w:t xml:space="preserve">Identify ≥3 further (indication, outcome, covariate) triples where a covariate predicts effect heterogeneity at the strength seen for GLP1 dose (target permutation p &lt; 0.05, R²_between ≳ 0.5), and re-run the full gate. Standing negative controls, carried unchanged: β = 0 inertia, scrambled-relevance, and the no-relevance (uniform) null must all lose before any win counts as gravity. Pre-commit the dose-kernel bandwidth = covariate SD and the precision-fusion / stand-down constants (η = 0.5, c₀ = 1, Q_MAX = 4).</w:t>
      </w:r>
    </w:p>
    <w:p>
      <w:pPr>
        <w:spacing w:after="120" w:line="276"/>
      </w:pPr>
      <w:r>
        <w:rPr>
          <w:b/>
          <w:bCs/>
        </w:rPr>
        <w:t xml:space="preserve">(b) Re-test transportability behind a power gate. </w:t>
      </w:r>
      <w:r>
        <w:t xml:space="preserve">Re-run the transport layer only on a slice with a documented strong population effect modifier — e.g. ancestry-driven pharmacogenomic response, or an absolute-risk outcome where baseline risk transports strongly — pre-screening with the meta-regression of §5.1 and proceeding only if the population slope clears β ≳ 0.02 (the simulation-derived crossover). Negative controls (target = donor pool, β = 0) and conflict-discounted precision fusion carry over unchanged. Report the pre-screen result whether or not the gate opens.</w:t>
      </w:r>
    </w:p>
    <w:p>
      <w:pPr>
        <w:pStyle w:val="Heading1"/>
      </w:pPr>
      <w:r>
        <w:t xml:space="preserve">10. Reproducibility</w:t>
      </w:r>
    </w:p>
    <w:p>
      <w:pPr>
        <w:spacing w:after="120" w:line="276"/>
      </w:pPr>
      <w:r>
        <w:t xml:space="preserve">All artifacts are committed on branch methods-borrowing under F:\ubcma\borrowing. Headline runs are seeded; the figures in this report are regenerated from the committed result JSON/CSV by manuscript/make_borrowing_figures.py, which reads only committed results and computes no new estimates. Pilot 1: build_field.py, inspect_field.py, class_lambda.py, run_pilot.py (--reps 300, and --scramble for the control), selfverify.py, sanity_nma.py. Pilot 2: probe_modifier.py, real_glp1.py, selfverify2.py, sim_gate.py, stand_down_control.py. Pilot 3: prep_transport.py, probe_transport.py, run_pilot3.py, sim_transport.py, selfverify3.py. Pilot 4: pilot4/hunt_gradient.py, hunt_dep.py, prep_madrs.py, run_pilot4.py, sim_madrs.py, selfverify4.py. Replication (§4.6): replication/screen_v2.py, run_slice.py, aggregate.py, selfverify_replication.py. Cross-specialty (§4.7): replication/multispecialty.py, aggregate_multispecialty.py, selfverify_multispecialty.py, xverify_exp2.R. BCG (§5.6): bcg/prep_bcg.py, run_bcg.py, selfverify_bcg.py, xverify3_epan_jack.py, xverify_metafor.R. Registry-scale field (§6): field_scale/corpus.py + harmonize_new.R (corpus build, metafor::escalc), field_learned.py (learned-kernel GP + conflict-aware fusion + conformal; the primary estimator), test_field_learned.py (unit tests), benchmark_learned.py (the §6.1 table → benchmark_learned_results.json), field.py / field_modern.py / benchmark.py / downsample.py (hand-set field and initial-corpus modern comparison → benchmark_results.json, downsample_results.json), verify_learned_independent.py (independent-engine cross-check). Figures: python manuscript/make_borrowing_figures.py.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Registry-Informed Relevance-Weighted Borrowing  —  </w:t>
    </w: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180"/>
      <w:outlineLvl w:val="1"/>
    </w:pPr>
    <w:rPr>
      <w:rFonts w:ascii="Calibri" w:cs="Calibri" w:eastAsia="Calibri" w:hAnsi="Calibri"/>
      <w:b/>
      <w:bCs/>
      <w:color w:val="2E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a86257506cbc971705502c3bc0c3d9f9d8116ad.png"/><Relationship Id="rId9" Type="http://schemas.openxmlformats.org/officeDocument/2006/relationships/image" Target="media/82cbc6e9434077094717c76e6e1c03c2506a0971.png"/><Relationship Id="rId10" Type="http://schemas.openxmlformats.org/officeDocument/2006/relationships/image" Target="media/d281b4747fb1a0ff293602842bea58224c5c047a.png"/><Relationship Id="rId11" Type="http://schemas.openxmlformats.org/officeDocument/2006/relationships/image" Target="media/48671046742c7b18bb97989749641a5d772e9166.png"/><Relationship Id="rId12" Type="http://schemas.openxmlformats.org/officeDocument/2006/relationships/image" Target="media/f25aa0d66d7e6c553fa20931893384e70f1256d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Registry-Informed Relevance-Weighted Borrowing</dc:title>
  <dc:creator>Mahmood Ahmad</dc:creator>
  <cp:lastModifiedBy>Un-named</cp:lastModifiedBy>
  <cp:revision>1</cp:revision>
  <dcterms:created xsi:type="dcterms:W3CDTF">2026-07-02T05:11:09.597Z</dcterms:created>
  <dcterms:modified xsi:type="dcterms:W3CDTF">2026-07-02T05:11:09.597Z</dcterms:modified>
</cp:coreProperties>
</file>

<file path=docProps/custom.xml><?xml version="1.0" encoding="utf-8"?>
<Properties xmlns="http://schemas.openxmlformats.org/officeDocument/2006/custom-properties" xmlns:vt="http://schemas.openxmlformats.org/officeDocument/2006/docPropsVTypes"/>
</file>