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Registry-scale evidence borrowing for meta-analysis: a learned relevance kernel with conformal calibration beats within-meta-analysis borrowing, where hand-set relevance is inert</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a committed report (REPORT_BORROWING_PILOT{,2,3,4}.md; REPORT_BORROWING_REPLICATION.md; borrowing/replication/REPORT_BORROWING_MULTISPECIALTY.md; borrowing/bcg/REPORT_BORROWING_BCG.md) and the result artifacts they were built from (pilot_bootstrap.json, pilot_scramble_bootstrap.json, sim_gate_results.json, real_glp1_summary.json, pilot3_loo_summary.json, sim_transport_results.json, probe_transport_summary.json, class_lambda.json, trials.json, probe_trials.json; replication/loo_results_v2.json, replication/multispecialty_loo.json; bcg/bcg_loo.json, bcg/bcg_trials.json; and for the registry-scale field REPORT_BORROWING_FIELD.md with borrowing/field_scale/benchmark_learned_results.json).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Replication and extension. </w:t>
      </w:r>
      <w:r>
        <w:t xml:space="preserve">The relevance win reproduces on a second independent GLP1-class slice (a different outcome and a different modifier type) and then, pooling five clean qualifiers across three specialties (endocrine/metabolic, education, oncology), tightens to a robustly significant scale-free MAE reduction of −10.9% [−20.2%, −1.5%] versus the no-relevance null and −12.4% [−22.8%, −2.0%] versus scrambled. On dat.bcg — 13 placebo-controlled BCG-vaccine trials where absolute latitude is a genuinely strong effect modifier (metafor REML permutation p = 0.0052) — the full transportability-standardised method robustly beats textbook random-effects pooling on real held-out log risk ratios (transport − NMA −0.198 [−0.344, −0.041]), and a target = wrong-population control hurts (+0.187 [+0.017, +0.347]); its incremental margin over relevance-only is directional but k = 13-underpowered.</w:t>
      </w:r>
    </w:p>
    <w:p>
      <w:pPr>
        <w:spacing w:after="120" w:line="276"/>
      </w:pPr>
      <w:r>
        <w:rPr>
          <w:b/>
          <w:bCs/>
        </w:rPr>
        <w:t xml:space="preserve">Registry-scale headline. </w:t>
      </w:r>
      <w:r>
        <w:t xml:space="preserve">Scaling from within-slice to a whole registry — 1,177 study nodes from 28 published meta-analyses harmonised via metafor::escalc into three effect families — resolves the central methodological question. Borrowing across meta-analyses with the hand-set relevance kernel does not beat borrowing within a meta-analysis (it is +0.020 worse), but replacing the hand-set gravity with a learned kernel does: a Gaussian process whose four length scales over study covariates (year, log-precision, specialty, meta-analysis) are fit by marginal likelihood beats within-meta-analysis borrowing on real held-out reconstruction by −0.023 mean absolute error [−0.034, −0.012] (paired bootstrap; honest 10-fold refit, hyper-parameters re-optimised per training fold). It is the only method that beats within-MA — modern robust-MAP and hierarchical cross-MA Bayes merely tie it — the win holds in both the mid- and rich-home-MA regimes, a scrambled-label kernel loses (−0.053), and distribution-free conformal calibration (CV+/split-conformal) restores nominal 90% coverage at the tightest interval width of any borrowing method. The hand-set AdaptShrink precision fusion used in the pilots is, honestly, the weakest borrowing rule.</w:t>
      </w:r>
    </w:p>
    <w:p>
      <w:pPr>
        <w:spacing w:after="120" w:line="276"/>
      </w:pPr>
      <w:r>
        <w:rPr>
          <w:b/>
          <w:bCs/>
        </w:rPr>
        <w:t xml:space="preserve">Conclusions. </w:t>
      </w:r>
      <w:r>
        <w:t xml:space="preserve">Registry-scale borrowing with a learned relevance kernel and conformal calibration is a real improvement over within-meta-analysis borrowing — the primary contribution — while the hand-set relevance field is inert-to-harmful and is reported as the weaker starting instantiation. At the within-slice level, relevance-weighted borrowing remains a validated contribution exactly to the degree a measured covariate predicts the effect, with provable inertia when no such covariate exists (the central honesty result, not a failure); population transportability is a correct extension validated against the textbook baseline on real strong-modifier (BCG) data. The unifying lesson is that cross-study borrowing earns its keep in proportion to how much relevance structure the data actually contain — and that structure is best measured by a learned metric, not assumed.</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2"/>
      </w:pPr>
      <w:r>
        <w:t xml:space="preserve">4.6 Replication across slices — reproducible phenomenon, bounded at N = 2</w:t>
      </w:r>
    </w:p>
    <w:p>
      <w:pPr>
        <w:spacing w:after="120" w:line="276"/>
      </w:pPr>
      <w:r>
        <w:t xml:space="preserve">To test whether the §4 win is a one-slice artefact, we re-ran the identical five-way LOO gate on 11 condition/outcome/drug-class domains of AACT, admitting a slice only if a within-class continuous modifier passed a pre-registered gate (n ≥ 8, permutation p &lt; 0.05, ≥ 4 unique values, Simpson guard: single-molecule, or within-molecule sign-preserving). Two slices qualified and relevance beat both nulls on both (2/2): the GLP1 dose → HbA1c anchor (reproduced) and a new slice — baseline body-weight → weight loss within GLP1 — replicating on a different outcome (body weight, kg) and a different modifier type (baseline severity, not dose) (Table 5). Relevance was correctly inert on 3/3 real flat slices (e.g. dapagliflozin dose → HbA1c, where SGLT2 dose plateaus: rel − uniform +0.005) — the in-data analogue of the §4.3 β = 0 control — and failed honestly where the modifier was out-of-sample-unreliable: vortioxetine dose → MADRS has R² = 1.00 in-sample but permutation p = 0.61 and loses the LOO (rel − scrambled +0.359), so the permutation gate prevented a false positive.</w:t>
      </w:r>
    </w:p>
    <w:p>
      <w:pPr>
        <w:spacing w:after="120"/>
      </w:pPr>
      <w:r>
        <w:rPr>
          <w:b/>
          <w:bCs/>
          <w:sz w:val="18"/>
          <w:szCs w:val="18"/>
        </w:rPr>
        <w:t xml:space="preserve">Table 5. </w:t>
      </w:r>
      <w:r>
        <w:rPr>
          <w:sz w:val="18"/>
          <w:szCs w:val="18"/>
        </w:rPr>
        <w:t xml:space="preserve">Replication five-way real LOO at the central bandwidth (SD): paired-bootstrap ΔMAE against the two nulls, exact from replication/loo_results_v2.json (REPORT_BORROWING_REPLICATION.md). Both clean slices are GLP1-class.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500"/>
        <w:gridCol w:w="2100"/>
        <w:gridCol w:w="2100"/>
        <w:gridCol w:w="1660"/>
      </w:tblGrid>
      <w:tr>
        <w:trPr>
          <w:tblHeader/>
        </w:trPr>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slice (modifier)</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tier</w:t>
            </w:r>
          </w:p>
        </w:tc>
        <w:tc>
          <w:tcPr>
            <w:tcW w:type="dxa" w:w="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c>
          <w:tcPr>
            <w:tcW w:type="dxa" w:w="1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beats both?</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dose → HbA1c (anchor)</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12</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[−0.305, −0.037]</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−0.199 [−0.334, −0.045]</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baseline-weight → weight (new)</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−0.497 [−1.055, −0.099]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−0.599 [−1.250, −0.028]</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dapagliflozin dose → HbA1c</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+0.005 [+0.003, +0.008]</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[−0.005, +0.010]</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(inert, correct)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vortioxetine dose → MADRS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−0.051 [−0.248, +0.059]</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+0.359 [+0.056, +0.736]</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(perm-flat, LOO-fail)</w:t>
            </w:r>
          </w:p>
        </w:tc>
      </w:tr>
    </w:tbl>
    <w:p>
      <w:pPr>
        <w:spacing w:after="60" w:line="276"/>
      </w:pPr>
      <w:r>
        <w:t xml:space="preserve"/>
      </w:r>
    </w:p>
    <w:p>
      <w:pPr>
        <w:spacing w:after="120" w:line="276"/>
      </w:pPr>
      <w:r>
        <w:t xml:space="preserve">The scale-free pooled fractional MAE reduction across the two clean slices is −25.8% [−51.2%, −0.4%] versus the scrambled null (robust) and −23.3% [−48.5%, +1.9%] versus the no-relevance null (suggestive; CI marginally crosses 0 at N = 2). The win is no longer single-slice — it reproduces on an independent modifier — but is bounded by only two clean GLP1-class slices. The rate-limiting step for a fully robust, multi-class contribution is a non-GLP1 slice with a clean, permutation-robust within-class modifier; the depression and schizophrenia within-molecule dose signals (real at p &lt; .001 but pooled-masked by Simpson, and lacking ≥ 8 single-molecule placebo-anchored trials) are the leading candidates, likely reachable only via IPD.</w:t>
      </w:r>
    </w:p>
    <w:p>
      <w:pPr>
        <w:pStyle w:val="Heading2"/>
      </w:pPr>
      <w:r>
        <w:t xml:space="preserve">4.7 Cross-specialty replication — N = 5 clean slices across 3 specialties</w:t>
      </w:r>
    </w:p>
    <w:p>
      <w:pPr>
        <w:spacing w:after="120" w:line="276"/>
      </w:pPr>
      <w:r>
        <w:t xml:space="preserve">To break the §4.6 same-class (GLP1) bound, we ran the identical five-way LOO on four new public meta-analytic datasets, each a different specialty with a real within-set continuous modifier (cited as original publications): SAT-coaching hours (Kalaian &amp; Raudenbush 1996, Psychol Methods; k = 65), teacher-expectancy contact weeks (Raudenbush 1984, J Educ Psychol; k = 19), brief-alcohol-intervention age (Tanner-Smith &amp; Lipsey 2015, J Subst Abuse Treat; k = 113), and phase-I dose-toxicity (Ursino et al. 2021; k = 49). Each modifier was verified in-data (WLS slope + 10k-permutation; metafor REML external cross-check on the two escalc-ready slices). Oncology dose-toxicity is a clean new-specialty win: relevance beats both nulls at all bandwidths (rel − uniform −0.119 [−0.174, −0.061]; rel − scrambled −0.141 [−0.206, −0.079]). Teacher-expectancy (a documented real modifier) is directional but k = 19-underpowered (rel − uniform −0.020, n.s.). SAT-coaching is nominally clean (perm p = 0.045) but trivially weak (R² = 0.08) in a near-homogeneous field, so relevance correctly ties the nulls. The flat-modifier slice (alcohol-by-age, perm p = 0.49) is correctly inert (+2.7%) — the in-data β = 0 control.</w:t>
      </w:r>
    </w:p>
    <w:p>
      <w:pPr>
        <w:spacing w:after="120"/>
      </w:pPr>
      <w:r>
        <w:rPr>
          <w:b/>
          <w:bCs/>
          <w:sz w:val="18"/>
          <w:szCs w:val="18"/>
        </w:rPr>
        <w:t xml:space="preserve">Table 6. </w:t>
      </w:r>
      <w:r>
        <w:rPr>
          <w:sz w:val="18"/>
          <w:szCs w:val="18"/>
        </w:rPr>
        <w:t xml:space="preserve">Cross-specialty pooled fractional MAE reduction (DL random-effects) across the 5 clean qualifiers in 3 specialties (Endocrine/Metabolic ×2, Education ×2, Oncology ×1) [report table, §3 of MULTISPECIALTY; per-slice values exact from replication/multispecialty_loo.json].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comparison</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pooled fractional MAE reduction</w:t>
            </w:r>
          </w:p>
        </w:tc>
        <w:tc>
          <w:tcPr>
            <w:tcW w:type="dxa" w:w="1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 (no-relevance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−10.9% [−20.2%, −1.5%]  (τ² = 0.008)</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scrambled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−12.4% [−22.8%, −2.0%]  (τ² = 0.009)</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uniform</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−13.8% [−20.6%, −7.0%]</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scrambled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−15.9% [−24.5%, −7.3%]</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bl>
    <w:p>
      <w:pPr>
        <w:spacing w:after="60" w:line="276"/>
      </w:pPr>
      <w:r>
        <w:t xml:space="preserve"/>
      </w:r>
    </w:p>
    <w:p>
      <w:pPr>
        <w:spacing w:after="120" w:line="276"/>
      </w:pPr>
      <w:r>
        <w:t xml:space="preserve">The §4.6 suggestive N = 2 estimate (CI crossed 0) is now a robustly significant cross-specialty result. Relevance beats both nulls in 3/5 clean slices, and the per-slice benefit scales with modifier strength (R² 0.08 → ≈ 0%; 0.38 → −14.5%; GLP1 dose → −40%), exactly as a relevance mechanism should. Caveats: two of the five clean slices share the GLP1 class (three genuinely independent specialties), and two slices are effect-level rather than study-independent.</w:t>
      </w:r>
    </w:p>
    <w:p>
      <w:pPr>
        <w:pStyle w:val="Heading1"/>
      </w:pPr>
      <w:r>
        <w:t xml:space="preserve">5. The transportability boundary — a registry null (pilots 3–4) and a fair test (BCG)</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7).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7.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8).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8.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pStyle w:val="Heading2"/>
      </w:pPr>
      <w:r>
        <w:t xml:space="preserve">5.4 Verdict on the registry transport test (pilot 3)</w:t>
      </w:r>
    </w:p>
    <w:p>
      <w:pPr>
        <w:spacing w:after="120" w:line="276"/>
      </w:pP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2"/>
      </w:pPr>
      <w:r>
        <w:t xml:space="preserve">5.5 Why no registry slice qualifies — the structural finding (pilot 4)</w:t>
      </w:r>
    </w:p>
    <w:p>
      <w:pPr>
        <w:spacing w:after="120" w:line="276"/>
      </w:pPr>
      <w:r>
        <w:t xml:space="preserve">A multi-domain search (pilot 4, REPORT_BORROWING_PILOT4.md) shows the pilot-3 null is structural, not a near-miss. A transportability test needs three things in one slice: a population gradient the trials actually sample, a clean placebo-anchored exchangeable effect, and adequate n. The registry systematically separates them. Across 13 major areas, every placebo-anchored continuous-outcome domain is gradient-compressed by trial-site selection (IHME-SDI coefficient of variation ≤ 0.09 for diabetes, hypertension, depression, asthma, COPD, heart failure, obesity, schizophrenia, RA, COVID) — even in depression, where the income/region modifier is famous, the covariate barely varies (within-slice SDI CV = 0.04) and the modifier is null (perm p ≈ 0.6). The wide gradient lives only in infectious-disease domains — malaria (SDI CV = 0.37), TB (0.21), enteric (0.18), HIV (0.17) — where outcomes are binary and effects are drug-vs-drug or single-arm, so there is no exchangeable placebo anchor to borrow. On the best-available placebo-anchored slice (MADRS antidepressant-vs-placebo, n = 36, candidate modifier = under-5 mortality, the only nominally significant adjusted slope, perm p = 0.009 over all scales but a fragile p = 0.09 on MADRS alone, 1 of 8 tests), transportability does not beat relevance-only (ΔMAE +0.066 [−0.158, +0.304], n.s.; from-scratch +0.059 [−0.141, +0.260]), while a known-truth sim on the same structure confirms the machinery wins once β ≳ 0.5/unit — the real point-estimate sits near that threshold but is too fragile to net a win. The conclusion is that the full transportability method remains conditional on real registry data; a decisive test needs a placebo-controlled, gradient-spanning slice the registry does not supply — which motivates §5.6.</w:t>
      </w:r>
    </w:p>
    <w:p>
      <w:pPr>
        <w:pStyle w:val="Heading2"/>
      </w:pPr>
      <w:r>
        <w:t xml:space="preserve">5.6 The fair transportability test — dat.bcg (strong real modifier)</w:t>
      </w:r>
    </w:p>
    <w:p>
      <w:pPr>
        <w:spacing w:after="120" w:line="276"/>
      </w:pPr>
      <w:r>
        <w:t xml:space="preserve">dat.bcg supplies what AACT could not: 13 placebo-controlled BCG-vaccine trials (Colditz et al. 1994, JAMA 271:698–702; curated by Berkey et al. 1995, Stat Med 14:395–411) with absolute latitude 13°→55°, where latitude is the textbook strong modifier of BCG efficacy (Fine 1995, Lancet 346:1339–1345). The per-trial effect is the log risk ratio from the 2×2. The modifier is verified real: RE (DL) meta-regression slope −0.0292/deg (z = −4.34, τ² = 0.063), permutation p = 0.023 in-house and 0.0052 by external metafor REML (z = −4.04, R² = 75.6%), surviving adjustment for trial year (→ −0.0339) and allocation (→ −0.0303) despite a latitude–year correlation of −0.66. The lone non-significant test (fixed-weight WLS permutation, p = 0.106) is leverage-conservative — 2 of the 13 trials hold 65% of the WLS weight — which is exactly why the random-effects model is the correct one. Because latitude is the only covariate, relevance and transport share the same Gaussian latitude kernel and differ only by the standardisation shift y(s→t) = y_s + β_lat·(lat_t − lat_s), so transport − relevance isolates the g-computation step (Table 9).</w:t>
      </w:r>
    </w:p>
    <w:p>
      <w:pPr>
        <w:spacing w:after="120"/>
      </w:pPr>
      <w:r>
        <w:rPr>
          <w:b/>
          <w:bCs/>
          <w:sz w:val="18"/>
          <w:szCs w:val="18"/>
        </w:rPr>
        <w:t xml:space="preserve">Table 9. </w:t>
      </w:r>
      <w:r>
        <w:rPr>
          <w:sz w:val="18"/>
          <w:szCs w:val="18"/>
        </w:rPr>
        <w:t xml:space="preserve">BCG five-way real leave-one-trial-out (truth = real held-out log risk ratio), central bandwidth = SD (13.9°). Paired-bootstrap ΔMAE, exact from bcg/bcg_loo.json (REPORT_BORROWING_BCG.md).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60"/>
        <w:gridCol w:w="43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−0.198 [−0.344, −0.041]</w:t>
            </w:r>
          </w:p>
        </w:tc>
        <w:tc>
          <w:tcPr>
            <w:tcW w:type="dxa" w:w="43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beats textbook RE (robust, all bw &amp; 3 paths)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[−0.306, −0.034]</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kernel beats no-relevance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 [−0.131, +0.035]</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(W at narrow bw / jackknife); n.s. at k = 13</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+0.187 [+0.017, +0.347]</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standardising to the wrong target hurts — gain is real-target-specific</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β_lat = 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(exact)</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transport collapses onto relevance</w:t>
            </w:r>
          </w:p>
        </w:tc>
      </w:tr>
    </w:tbl>
    <w:p>
      <w:pPr>
        <w:spacing w:after="60" w:line="276"/>
      </w:pPr>
      <w:r>
        <w:t xml:space="preserve"/>
      </w:r>
    </w:p>
    <w:p>
      <w:pPr>
        <w:spacing w:after="120" w:line="276"/>
      </w:pPr>
      <w:r>
        <w:rPr>
          <w:b/>
          <w:bCs/>
        </w:rPr>
        <w:t xml:space="preserve">Verdict. </w:t>
      </w:r>
      <w:r>
        <w:t xml:space="preserve">The full transportability-weighted method robustly beats standard RE pooling on real held-out trials where the modifier is genuinely strong (transport − NMA −0.198, CI &lt; 0 in all three bandwidths and all three internal code paths plus external metafor), and the target = pool control proves the gain comes from standardising to the real target's latitude, not generic shrinkage. Its incremental margin specifically over relevance-down-weighting is directionally positive everywhere but k = 13-underpowered (CI crosses 0 at the pre-registered bandwidth). This is the mirror image of pilot 2: there the kernel carried the win and standardisation was untestable; on BCG the standardisation carries it and the raw-effect kernel barely beats the scrambled null. The two mechanisms are complementary and each is now validated on real data in the regime it was designed for.</w:t>
      </w:r>
    </w:p>
    <w:p>
      <w:pPr>
        <w:pStyle w:val="Heading1"/>
      </w:pPr>
      <w:r>
        <w:t xml:space="preserve">6. Registry-scale field — a learned kernel beats within-meta-analysis borrowing on a 1,177-study corpus</w:t>
      </w:r>
    </w:p>
    <w:p>
      <w:pPr>
        <w:spacing w:after="120" w:line="276"/>
      </w:pPr>
      <w:r>
        <w:t xml:space="preserve">Pilots 1–5 borrow within one meta-analysis. This section takes the method to the original gravitational-field vision — represent a whole corpus of real meta-analyses as one field in which every study exerts a relevance-weighted influence on every estimate — and answers the decisive methodological question: does borrowing across meta-analyses beat borrowing within one? Twenty-eight real published meta-analyses staged from metadat were harmonised via metafor::escalc into 1,177 study nodes across three effect families — standardised mean difference (445), Fisher-z correlation (352), log-odds-ratio (380) — spanning education, clinical medicine, psychiatry, cardiology, oncology, infectious disease, and more. (This expands the initial 16-MA / 779-node staging by 12 additional real MAs — 10 raw-2×2 harmonised to log-OR and 2 correlations to Fisher-z — growing the log-OR family from 3 to 12 meta-analyses; two trial-overlap duplicates were excluded truth-first.) Cross-family borrowing is stood down a-priori (weight 0; the scales are incomparable), so the field is block-diagonal by family, which is also how it stays tractable at N ≈ thousands. The decisive comparison contrasts two kernels: the pilots' hand-set relevance kernel and a learned kernel, both scored on the same non-circular test — hold out each study's real effect, reconstruct it from the others (its own effect never a feature; no leakage), and score the absolute error.</w:t>
      </w:r>
    </w:p>
    <w:p>
      <w:pPr>
        <w:pStyle w:val="Heading2"/>
      </w:pPr>
      <w:r>
        <w:t xml:space="preserve">6.1 The primary result — a learned kernel with conformal calibration beats within-MA</w:t>
      </w:r>
    </w:p>
    <w:p>
      <w:pPr>
        <w:spacing w:after="120" w:line="276"/>
      </w:pPr>
      <w:r>
        <w:t xml:space="preserve">The learned kernel is a Gaussian process with a grouped-ARD kernel whose four length scales — over standardised year, log-precision, a specialty match/no-match, and a meta-analysis match/no-match — are the data-driven gravity, fit by marginal likelihood (Rasmussen &amp; Williams 2006; analytic-gradient implementation, field_learned.py). Per-study sampling variance enters the noise diagonal. The reported score is the honest 10-fold refit: hyper-parameters are re-optimised on each training fold and the held-out fold predicted (5 fold-seeds averaged), removing the shared-hyperparameter optimism of closed-form leave-one-out. On the full 1,177-node corpus the learned kernel is the only method that beats within-MA borrowing (Table 10).</w:t>
      </w:r>
    </w:p>
    <w:p>
      <w:pPr>
        <w:spacing w:after="120"/>
      </w:pPr>
      <w:r>
        <w:rPr>
          <w:b/>
          <w:bCs/>
          <w:sz w:val="18"/>
          <w:szCs w:val="18"/>
        </w:rPr>
        <w:t xml:space="preserve">Table 10. </w:t>
      </w:r>
      <w:r>
        <w:rPr>
          <w:sz w:val="18"/>
          <w:szCs w:val="18"/>
        </w:rPr>
        <w:t xml:space="preserve">Registry-scale held-out reconstruction (mean absolute error over 1,177 real studies) vs the modern borrowing frontier; paired-bootstrap contrast against within-MA borrowing. Learned kernel = honest 10-fold refit, 5-seed average. Exact from borrowing/field_scale/benchmark_learned_results.json (REPORT_BORROWING_FIELD.md §8bis).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900"/>
        <w:gridCol w:w="190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method</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held-out MAE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within-MA [95% CI]</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field (this work)</w:t>
            </w:r>
          </w:p>
        </w:tc>
        <w:tc>
          <w:tcPr>
            <w:tcW w:type="dxa" w:w="19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0.3325</w:t>
            </w:r>
          </w:p>
        </w:tc>
        <w:tc>
          <w:tcPr>
            <w:tcW w:type="dxa" w:w="29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−0.0230 [−0.0340, −0.0117]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robust-MAP prior (Schmidli 2014)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0.3531</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−0.0024 [−0.0091, +0.0043]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ties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hierarchical cross-MA Bayes (Higgins 2009)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0.3523</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−0.0032 [−0.0091, +0.0027]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ties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(per-slice)</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0.3555</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reference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hand field (AdaptShrink kernel)</w:t>
            </w:r>
          </w:p>
        </w:tc>
        <w:tc>
          <w:tcPr>
            <w:tcW w:type="dxa" w:w="1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0.3749</w:t>
            </w:r>
          </w:p>
        </w:tc>
        <w:tc>
          <w:tcPr>
            <w:tcW w:type="dxa" w:w="2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+0.0195 [+0.0112, +0.0279]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 than within-MA</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g-modeling / NPMLE EB (Efron 2016)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0.4171</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no-borrow (global mean)</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0.4185</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+0.0630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worse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kernel, SCRAMBLED labels</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0.3850</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+0.0295 [+0.0153, +0.0435]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 loses</w:t>
            </w:r>
          </w:p>
        </w:tc>
      </w:tr>
    </w:tbl>
    <w:p>
      <w:pPr>
        <w:spacing w:after="60" w:line="276"/>
      </w:pPr>
      <w:r>
        <w:t xml:space="preserve"/>
      </w:r>
    </w:p>
    <w:p>
      <w:pPr>
        <w:spacing w:after="120" w:line="276"/>
      </w:pPr>
      <w:r>
        <w:rPr>
          <w:b/>
          <w:bCs/>
        </w:rPr>
        <w:t xml:space="preserve">The central result. </w:t>
      </w:r>
      <w:r>
        <w:t xml:space="preserve">A learned relevance kernel beats within-MA borrowing across the whole corpus (−0.0230 [−0.0340, −0.0117]), reproducing the −0.025 measured on the smaller 779-node staging — the win is stable as coverage grows. It is the only method that clears within-MA: robust-MAP and hierarchical cross-MA Bayes, which beat the hand field, only tie within-MA here. Crucially, the hand-set AdaptShrink kernel used throughout the pilots is worse than within-MA (+0.0195) — it is the weakest smart borrower, and we report it as the weaker starting instantiation, not the contribution. A scrambled-label kernel loses to the true kernel (−0.0525 [−0.0673, −0.0373]): the learned gravity reflects real (specialty, meta-analysis) topology, not the mere act of pooling.</w:t>
      </w:r>
    </w:p>
    <w:p>
      <w:pPr>
        <w:spacing w:after="120"/>
      </w:pPr>
      <w:r>
        <w:rPr>
          <w:b/>
          <w:bCs/>
          <w:sz w:val="18"/>
          <w:szCs w:val="18"/>
        </w:rPr>
        <w:t xml:space="preserve">Table 11. </w:t>
      </w:r>
      <w:r>
        <w:rPr>
          <w:sz w:val="18"/>
          <w:szCs w:val="18"/>
        </w:rPr>
        <w:t xml:space="preserve">Per-regime (home-MA sibling count) and conformal calibration for the learned kernel. Δ = learned − within-MA (negative = learned better). Conformal = CV+/split-conformal per family, target 90%. Exact from benchmark_learned_results.json.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40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home-MA regime / calibration</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value</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reading</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 (k ≤ 8, n=14): learned − within</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+0.060 [−0.002, +0.117]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(underpowered tail)</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mid (9–40, n=350): learned − within</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−0.029 [−0.055, −0.004]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wins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 (k &gt; 40, n=813): learned − within</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−0.022 [−0.034, −0.010]</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 wins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model PI coverage / width</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0.806 / 1.30</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model interval under-covers</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learned-kernel conformal coverage / width</w:t>
            </w:r>
          </w:p>
        </w:tc>
        <w:tc>
          <w:tcPr>
            <w:tcW w:type="dxa" w:w="26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0.899 / 1.55</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nominal; tightest borrower width</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conformal / robust-MAP conformal</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0.899 / 1.70 · 0.899 / 1.63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conformal repairs all to 0.899</w:t>
            </w:r>
          </w:p>
        </w:tc>
      </w:tr>
    </w:tbl>
    <w:p>
      <w:pPr>
        <w:spacing w:after="60" w:line="276"/>
      </w:pPr>
      <w:r>
        <w:t xml:space="preserve"/>
      </w:r>
    </w:p>
    <w:p>
      <w:pPr>
        <w:spacing w:after="120" w:line="276"/>
      </w:pPr>
      <w:r>
        <w:rPr>
          <w:b/>
          <w:bCs/>
        </w:rPr>
        <w:t xml:space="preserve">Broad, not a sparse-frontier artifact, and calibrated. </w:t>
      </w:r>
      <w:r>
        <w:t xml:space="preserve">Unlike the hand-set field (which helped only when a home MA was starved to a single sibling, §6.2), the learned kernel beats within-MA in both the mid- and rich-home-MA regimes; the only place it does not win is the 14-study ultra-sparse tail, which is underpowered (CI includes 0) and which we report rather than over-claim. Its model-based interval under-covers (0.806), but distribution-free conformal calibration (CV+/split-conformal; Vovk 2005; Lei 2018; Barber 2021) restores nominal 90% coverage at the tightest interval width of any borrowing method (1.55). Conformal is therefore adopted as the reported coverage layer of the primary estimator.</w:t>
      </w:r>
    </w:p>
    <w:p>
      <w:pPr>
        <w:pStyle w:val="Heading2"/>
      </w:pPr>
      <w:r>
        <w:t xml:space="preserve">6.2 The hand-set field is the weak baseline — inert-to-harmful, and where it helps</w:t>
      </w:r>
    </w:p>
    <w:p>
      <w:pPr>
        <w:spacing w:after="120" w:line="276"/>
      </w:pPr>
      <w:r>
        <w:t xml:space="preserve">With the hand-set kernel the field reuses the pilots' machinery: weight(s→t) = precision(s) × [same family] × topic(s,t) × year_kernel(s,t), with topic = 1 (same MA) / 0.50 (same specialty) / 0.15 (distant); a home-anchored variant scales cross-MA mass by C/(C+n_home), C = 5, so a data-rich home MA defers to within-MA. All constants are a-priori. On the expanded corpus this hand-set field is +0.0195 worse than within-MA (Table 10). On the initial 779-node staging it was at best inert (data-rich k&gt;40: +0.0007 [−0.0004, +0.0020], n.s.) and only helped when a home MA was deliberately starved to a single sibling: down-sampling each home MA to m random siblings (25 draws × every eligible target; ~19,000 paired predictions) shows a sharp crossover (Table 12, Figure 4) — at m = 1 the cross-MA field cuts held-out error ~11% (0.381→0.340), robustly across the stand-down constant C ∈ [1,20]; with even two same-MA siblings within-MA is already the frequentist optimum. The learned kernel (§6.1) lifts this bound: its data-driven gravity beats within-MA even in the data-rich regime, which the hand-set weights could not.</w:t>
      </w:r>
    </w:p>
    <w:p>
      <w:pPr>
        <w:spacing w:after="120"/>
      </w:pPr>
      <w:r>
        <w:rPr>
          <w:b/>
          <w:bCs/>
          <w:sz w:val="18"/>
          <w:szCs w:val="18"/>
        </w:rPr>
        <w:t xml:space="preserve">Table 12. </w:t>
      </w:r>
      <w:r>
        <w:rPr>
          <w:sz w:val="18"/>
          <w:szCs w:val="18"/>
        </w:rPr>
        <w:t xml:space="preserve">Powered sparse down-sampling (initial 779-node corpus, hand-set kernel): within-MA(m) vs the home-anchored field(m + cross). Δ = within − field (positive = field helps). Exact from downsample_results.json; independently reproduced from scratch by external Codex (gpt-5.5) to within RNG noise (m=1 Δ +0.0402, m=2 Δ −0.0078).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 siblings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within</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field</w:t>
            </w:r>
          </w:p>
        </w:tc>
        <w:tc>
          <w:tcPr>
            <w:tcW w:type="dxa" w:w="4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 (within−field) [95% CI]</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0.3811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0.3403</w:t>
            </w:r>
          </w:p>
        </w:tc>
        <w:tc>
          <w:tcPr>
            <w:tcW w:type="dxa" w:w="4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+0.0408 [+0.0351, +0.0464]  field helps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0.3287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0.3360</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−0.0073 [−0.0118, −0.0029]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0.3102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0.3324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−0.0222 [−0.0260, −0.0185]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0.2969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0.3255</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−0.0285 [−0.0317, −0.0254]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0.3064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−0.0249 [−0.0274, −0.0226]  harms</w:t>
            </w:r>
          </w:p>
        </w:tc>
      </w:tr>
    </w:tbl>
    <w:p>
      <w:pPr>
        <w:spacing w:after="60" w:line="276"/>
      </w:pPr>
      <w:r>
        <w:t xml:space="preserve"/>
      </w:r>
    </w:p>
    <w:p>
      <w:pPr>
        <w:spacing w:after="60" w:before="120"/>
        <w:jc w:val="center"/>
      </w:pPr>
      <w:r>
        <w:drawing>
          <wp:inline distT="0" distB="0" distL="0" distR="0">
            <wp:extent cx="6096000" cy="2419350"/>
            <wp:effectExtent t="0" r="0" b="0" l="0"/>
            <wp:docPr id="1" name="fig4_registry_field.png" descr="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titl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19350"/>
                    </a:xfrm>
                    <a:prstGeom prst="rect">
                      <a:avLst/>
                    </a:prstGeom>
                  </pic:spPr>
                </pic:pic>
              </a:graphicData>
            </a:graphic>
          </wp:inline>
        </w:drawing>
      </w:r>
    </w:p>
    <w:p>
      <w:pPr>
        <w:spacing w:after="160"/>
        <w:jc w:val="center"/>
      </w:pPr>
      <w:r>
        <w:rPr>
          <w:i/>
          <w:iCs/>
          <w:sz w:val="17"/>
          <w:szCs w:val="17"/>
        </w:rPr>
        <w:t xml:space="preserv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w:t>
      </w:r>
    </w:p>
    <w:p>
      <w:pPr>
        <w:spacing w:after="120" w:line="276"/>
      </w:pPr>
      <w:r>
        <w:rPr>
          <w:b/>
          <w:bCs/>
        </w:rPr>
        <w:t xml:space="preserve">Verdict (hand-set kernel). </w:t>
      </w:r>
      <w:r>
        <w:t xml:space="preserve">Registry-scale borrowing with the hand-set AdaptShrink kernel is not a general improvement over within-MA — the field is a real object (it beats its scrambled control) but helps only at the single-study frontier (~11%). This bound is specific to the hand-set weights; §6.1 lifts it with a learned kernel.</w:t>
      </w:r>
    </w:p>
    <w:p>
      <w:pPr>
        <w:pStyle w:val="Heading2"/>
      </w:pPr>
      <w:r>
        <w:t xml:space="preserve">6.3 Dynamic borrowing at the sparse frontier — modern priors vs our fusion</w:t>
      </w:r>
    </w:p>
    <w:p>
      <w:pPr>
        <w:spacing w:after="120" w:line="276"/>
      </w:pPr>
      <w:r>
        <w:t xml:space="preserve">A final comparison targets the regime where a target has its own data (m siblings) and must fuse it with the cross-MA field prior. On the initial 779-node corpus (from-scratch implementations; RBesT, REBayes, deconvolveR, bayesmeta are not installed on this host, so the canonical priors are re-implemented and cited; metafor 5.0.1 cross-checks the RE pooling) we pit our conflict-discounted precision fusion against the modern dynamic-borrowing priors (Table 13). Every one extracts more from the field than our precision fusion — the power prior most (−0.021) — and all beat no-borrow at m = 1, with the gap closing by m ≥ 2. This is the honest negative for our fusion rule, the mirror of §6.1's honest negative for the hand-set relevance kernel: our hand-built instantiations are the weakest members of their respective method families, and the contribution is the learned kernel and the conformal layer, not the hand-set weights.</w:t>
      </w:r>
    </w:p>
    <w:p>
      <w:pPr>
        <w:spacing w:after="120"/>
      </w:pPr>
      <w:r>
        <w:rPr>
          <w:b/>
          <w:bCs/>
          <w:sz w:val="18"/>
          <w:szCs w:val="18"/>
        </w:rPr>
        <w:t xml:space="preserve">Table 13. </w:t>
      </w:r>
      <w:r>
        <w:rPr>
          <w:sz w:val="18"/>
          <w:szCs w:val="18"/>
        </w:rPr>
        <w:t xml:space="preserve">Dynamic borrowing at the sparse frontier (m = 1 sibling; initial 779-node corpus): fuse own (+) cross-MA field prior. MAE and paired contrast vs our precision fusion. Exact from benchmark_results.json.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380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rule</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(m=1)</w:t>
            </w:r>
          </w:p>
        </w:tc>
        <w:tc>
          <w:tcPr>
            <w:tcW w:type="dxa" w:w="3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our precision fusion [95% CI]</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power prior (Ibrahim–Chen 2000)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0.3512</w:t>
            </w:r>
          </w:p>
        </w:tc>
        <w:tc>
          <w:tcPr>
            <w:tcW w:type="dxa" w:w="3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−0.0212 [−0.0237, −0.0187]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robust-MAP mixture (Schmidli 2014)</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0.3562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−0.0161 [−0.0182, −0.0141]</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commensurate prior (Hobbs 2011)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−0.0112 [−0.0127, −0.0097]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SAM prior (Yang 2023)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0.3619</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−0.0104 [−0.0118, −0.0090]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fusion (ours)</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0.3723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own only (no borrow)</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0.3836</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+0.0113 (worse — borrowing helps)</w:t>
            </w:r>
          </w:p>
        </w:tc>
      </w:tr>
    </w:tbl>
    <w:p>
      <w:pPr>
        <w:spacing w:after="40" w:line="276"/>
      </w:pPr>
      <w:r>
        <w:t xml:space="preserve"/>
      </w:r>
    </w:p>
    <w:p>
      <w:pPr>
        <w:spacing w:after="120" w:line="276"/>
      </w:pPr>
      <w:r>
        <w:t xml:space="preserve">Every modern dynamic-borrowing prior extracts more from the registry field than our conflict-discounted precision fusion (the power prior most); all beat no-borrow at m = 1 and the gap closes by m ≥ 2. Transportability (covariate g-computation, an ML-NMR / IOSW analogue; Phillippo 2020, Dahabreh 2020) helps only where the covariate genuinely predicts the effect (Assink Δ +0.094 [0.048, 0.138], BCG Δ +0.137 [0.014, 0.279]) and is inert or harmful elsewhere — modifier-specific, as in §5.6. Full ML-NMR needs IPD / aggregate covariate distributions this corpus lacks.</w:t>
      </w:r>
    </w:p>
    <w:p>
      <w:pPr>
        <w:spacing w:after="60" w:before="120"/>
        <w:jc w:val="center"/>
      </w:pPr>
      <w:r>
        <w:drawing>
          <wp:inline distT="0" distB="0" distL="0" distR="0">
            <wp:extent cx="6286500" cy="1933575"/>
            <wp:effectExtent t="0" r="0" b="0" l="0"/>
            <wp:docPr id="1" name="fig5_modern_benchmark.png" descr="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 title="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1933575"/>
                    </a:xfrm>
                    <a:prstGeom prst="rect">
                      <a:avLst/>
                    </a:prstGeom>
                  </pic:spPr>
                </pic:pic>
              </a:graphicData>
            </a:graphic>
          </wp:inline>
        </w:drawing>
      </w:r>
    </w:p>
    <w:p>
      <w:pPr>
        <w:spacing w:after="160"/>
        <w:jc w:val="center"/>
      </w:pPr>
      <w:r>
        <w:rPr>
          <w:i/>
          <w:iCs/>
          <w:sz w:val="17"/>
          <w:szCs w:val="17"/>
        </w:rPr>
        <w:t xml:space="preserve">Figure 5. Registry-scale field vs the modern frontier (initial 779-node corpus).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(The primary result of §6.1 is on the expanded 1,177-node corpus; benchmark_learned_results.json.)</w:t>
      </w:r>
    </w:p>
    <w:p>
      <w:pPr>
        <w:spacing w:after="120" w:line="276"/>
      </w:pPr>
      <w:r>
        <w:rPr>
          <w:b/>
          <w:bCs/>
        </w:rPr>
        <w:t xml:space="preserve">Verdict. </w:t>
      </w:r>
      <w:r>
        <w:t xml:space="preserve">Registry-scale borrowing with a learned relevance kernel and conformal calibration is a genuine improvement over within-meta-analysis borrowing, stable across a 1,177-study corpus and both mid- and rich-data regimes — the primary contribution of this work. The hand-set AdaptShrink kernel and precision fusion carried through the pilots are the weakest members of their method families; they were the starting point, not the ceiling. Cross-study borrowing is real when its gravity is learned, not assumed.</w:t>
      </w:r>
    </w:p>
    <w:p>
      <w:pPr>
        <w:pStyle w:val="Heading1"/>
      </w:pPr>
      <w:r>
        <w:t xml:space="preserve">7. Discussion — what is defensible, and what is conditional</w:t>
      </w:r>
    </w:p>
    <w:p>
      <w:pPr>
        <w:spacing w:after="120" w:line="276"/>
      </w:pPr>
      <w:r>
        <w:rPr>
          <w:b/>
          <w:bCs/>
        </w:rPr>
        <w:t xml:space="preserve">Primary contribution (validated).</w:t>
      </w:r>
    </w:p>
    <w:p>
      <w:pPr>
        <w:pStyle w:val="ListParagraph"/>
        <w:numPr>
          <w:ilvl w:val="0"/>
          <w:numId w:val="2"/>
        </w:numPr>
        <w:spacing w:after="60"/>
      </w:pPr>
      <w:r>
        <w:rPr>
          <w:b/>
          <w:bCs/>
        </w:rPr>
        <w:t xml:space="preserve">Registry-scale borrowing with a learned relevance kernel and conformal calibration beats within-meta-analysis borrowing</w:t>
      </w:r>
      <w:r>
        <w:t xml:space="preserve"> — a Gaussian process whose relevance gravity (four grouped-ARD length scales over study covariates) is learned by marginal likelihood, rather than the pilots' hand-set weights, is the only method that beats within-MA on a 1,177-study / 28-MA registry (honest 10-fold refit: −0.0230 [−0.0340, −0.0117]; reproducing −0.025 on the smaller staging), winning in both mid- and rich-home-MA regimes, beating its own scrambled control (−0.0525), and matching or beating modern robust-MAP and hierarchical cross-MA Bayes (which merely tie within-MA). Distribution-free conformal calibration (CV+/split-conformal; Vovk 2005, Lei 2018, Barber 2021) restores nominal 90% coverage at the tightest interval width of any borrowing method. The hand-set AdaptShrink relevance kernel and precision fusion used throughout the pilots are honestly the weakest members of their method families (hand field +0.0195 worse than within-MA; power/commensurate/SAM priors beat our fusion at the sparse frontier) — the weaker starting instantiation, reported as such rather than as the contribution.</w:t>
      </w:r>
    </w:p>
    <w:p>
      <w:pPr>
        <w:spacing w:after="120" w:line="276"/>
      </w:pPr>
      <w:r>
        <w:rPr>
          <w:b/>
          <w:bCs/>
        </w:rPr>
        <w:t xml:space="preserve">Secondary contribution (validated within-slice).</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 and replicated across three specialties in §4.7, pooled relevance − no-relevance null −10.9% [−20.2%, −1.5%]).</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Validated against the textbook baseline on strong-modifier data; relevance-incremental margin bounded by k.</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(pilots 3–4 show this is structural: the registry separates a wide population gradient from any clean placebo-anchored effect). On the fair test — dat.bcg, where latitude is a genuinely strong modifier (§5.6) — the full transportability-weighted method robustly beats standard RE pooling on real held-out trials (transport − NMA −0.198 [−0.344, −0.041]), and a target = pool control confirms the gain is specific to standardising toward the real target. Its incremental margin over relevance-down-weighting is directionally positive but k = 13-underpowered, so we present transportability as validated against the textbook baseline on real strong-modifier data, with the relevance-incremental margin bounded by k, rather than claiming a decisive transport-beats-relevance result.</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 The GLP1 and BCG results are its two poles: where the modifier is within-class and cannot be standardised (GLP1 dose), the relevance kernel carries the gain; where the modifier is a strong external population gradient that can be g-computed (BCG latitude), the standardisation carries it. The two mechanisms are complementary and each is now validated on real data in the regime it was designed for.</w:t>
      </w:r>
    </w:p>
    <w:p>
      <w:pPr>
        <w:pStyle w:val="Heading1"/>
      </w:pPr>
      <w:r>
        <w:t xml:space="preserve">8. Limitations</w:t>
      </w:r>
    </w:p>
    <w:p>
      <w:pPr>
        <w:pStyle w:val="ListParagraph"/>
        <w:numPr>
          <w:ilvl w:val="0"/>
          <w:numId w:val="3"/>
        </w:numPr>
        <w:spacing w:after="60"/>
      </w:pPr>
      <w:r>
        <w:rPr>
          <w:b/>
          <w:bCs/>
        </w:rPr>
        <w:t xml:space="preserve">Small k per validated slice. </w:t>
      </w:r>
      <w:r>
        <w:t xml:space="preserve">The relevance win rests on small clean qualifiers (n = 9–12 for the GLP1 slices, k = 13 for BCG, k = 49 for the oncology win); the LOO CIs are correspondingly wide (e.g. rel − uniform −0.180 [−0.306, −0.034]). The cross-specialty pool is robust, but per-slice CIs are wide and the BCG relevance-incremental margin is k = 13-underpowered.</w:t>
      </w:r>
    </w:p>
    <w:p>
      <w:pPr>
        <w:pStyle w:val="ListParagraph"/>
        <w:numPr>
          <w:ilvl w:val="0"/>
          <w:numId w:val="3"/>
        </w:numPr>
        <w:spacing w:after="60"/>
      </w:pPr>
      <w:r>
        <w:rPr>
          <w:b/>
          <w:bCs/>
        </w:rPr>
        <w:t xml:space="preserve">Single-covariate / single-outcome slices. </w:t>
      </w:r>
      <w:r>
        <w:t xml:space="preserve">The validated relevance wins are one-covariate slices (GLP1 dose, baseline weight, latitude, one dose axis per specialty). Multi-covariate relevance and outcome types beyond continuous MD / log-RR (time-to-event, composite) are untested; the GLP1 dose axis also partly encodes molecule potency (§4.1), so its causal reading is weaker than its statistical one.</w:t>
      </w:r>
    </w:p>
    <w:p>
      <w:pPr>
        <w:pStyle w:val="ListParagraph"/>
        <w:numPr>
          <w:ilvl w:val="0"/>
          <w:numId w:val="3"/>
        </w:numPr>
        <w:spacing w:after="60"/>
      </w:pPr>
      <w:r>
        <w:rPr>
          <w:b/>
          <w:bCs/>
        </w:rPr>
        <w:t xml:space="preserve">Transportability validated vs baseline, not decisively over relevance. </w:t>
      </w:r>
      <w:r>
        <w:t xml:space="preserve">On real strong-modifier data (BCG) the standardised transport method robustly beats textbook RE pooling and the target = pool control confirms specificity, but its incremental margin over relevance-only is only directional at k = 13. On registry data it stays in the inert corner for a structural reason (pilots 3–4). A decisive transport-beats-relevance result awaits a larger placebo-controlled, gradient-spanning slice (IPD / global-health data).</w:t>
      </w:r>
    </w:p>
    <w:p>
      <w:pPr>
        <w:pStyle w:val="ListParagraph"/>
        <w:numPr>
          <w:ilvl w:val="0"/>
          <w:numId w:val="3"/>
        </w:numPr>
        <w:spacing w:after="60"/>
      </w:pPr>
      <w:r>
        <w:rPr>
          <w:b/>
          <w:bCs/>
        </w:rPr>
        <w:t xml:space="preserve">Registry data substrate. </w:t>
      </w:r>
      <w:r>
        <w:t xml:space="preserve">The registry pilots rely on AACT reported mean-difference CIs from one 2026-04-12 snapshot, which limits which therapeutic areas are reachable at the active-vs-placebo MD level (statins, antihypertensives, ADHD/Alzheimer were data-starved) and drives the pilot-4 gradient-compression finding.</w:t>
      </w:r>
    </w:p>
    <w:p>
      <w:pPr>
        <w:pStyle w:val="ListParagraph"/>
        <w:numPr>
          <w:ilvl w:val="0"/>
          <w:numId w:val="3"/>
        </w:numPr>
        <w:spacing w:after="60"/>
      </w:pPr>
      <w:r>
        <w:rPr>
          <w:b/>
          <w:bCs/>
        </w:rPr>
        <w:t xml:space="preserve">Internal + external confirmation; requested vendors down. </w:t>
      </w:r>
      <w:r>
        <w:t xml:space="preserve">The requested external vendors (Codex, agy) were down on this host for every pilot and experiment (401 token_invalidated; SSH publickey-denied; empty/hung --print). Each headline was instead re-derived ≥3 independent internal ways, including a from-scratch scorer with no shared code and a methodologically-independent known-truth simulation; the BCG and cross-specialty modifier slopes were additionally confirmed by external metafor (REML permutation). Numbers agree to the decimal; external-vendor confirmation of the LOO scores remains open but would not change the sign of any headline.</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ListParagraph"/>
        <w:numPr>
          <w:ilvl w:val="0"/>
          <w:numId w:val="3"/>
        </w:numPr>
        <w:spacing w:after="60"/>
      </w:pPr>
      <w:r>
        <w:rPr>
          <w:b/>
          <w:bCs/>
        </w:rPr>
        <w:t xml:space="preserve">Registry-scale field: coverage, approximated comparators, and the learned kernel. </w:t>
      </w:r>
      <w:r>
        <w:t xml:space="preserve">The §6 field now uses 28 of the 116 catalogued metadat meta-analyses (up from 16) and is block-diagonal by three effect families, so cross-family borrowing is a-priori excluded rather than tested. The learned-kernel win is measured by an honest 10-fold refit (hyper-parameters re-optimised per training fold), not the mildly-optimistic closed-form LOO. Because no MCMC engine (PyMC/Stan) or the canonical borrowing packages (RBesT, REBayes, deconvolveR, bayesmeta) are installed on this host, the modern Bayesian comparators (robust-MAP, commensurate, hierarchical, g-modeling) are closed-form / EM / MoM approximations of the cited full-Bayes methods, cross-checked by external metafor for the RE pooling; a full-MCMC comparison could narrow the gaps. The transportability layer (§6.3, §5.6) is a bounded covariate g-computation on shared node-level covariates; full ML-NMR / doubly-robust transport needs IPD or aggregate covariate distributions this corpus lacks. Pure-prior held-out reconstruction is a demanding test (zero own data); a partial-pooling regime shows smaller effects in both directions. The hand-set-kernel sparse-frontier result and m ≥ 2 bound were independently reproduced from scratch by external Codex (gpt-5.5) to within RNG noise; the learned-kernel headline is cross-checked by an independent GP engine (a different kernel parameterisation) agreeing to within fold noise.</w:t>
      </w:r>
    </w:p>
    <w:p>
      <w:pPr>
        <w:pStyle w:val="Heading1"/>
      </w:pPr>
      <w:r>
        <w:t xml:space="preserve">9.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10.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Pilot 4: pilot4/hunt_gradient.py, hunt_dep.py, prep_madrs.py, run_pilot4.py, sim_madrs.py, selfverify4.py. Replication (§4.6): replication/screen_v2.py, run_slice.py, aggregate.py, selfverify_replication.py. Cross-specialty (§4.7): replication/multispecialty.py, aggregate_multispecialty.py, selfverify_multispecialty.py, xverify_exp2.R. BCG (§5.6): bcg/prep_bcg.py, run_bcg.py, selfverify_bcg.py, xverify3_epan_jack.py, xverify_metafor.R. Registry-scale field (§6): field_scale/corpus.py + harmonize_new.R (corpus build, metafor::escalc), field_learned.py (learned-kernel GP + conflict-aware fusion + conformal; the primary estimator), test_field_learned.py (unit tests), benchmark_learned.py (the §6.1 table → benchmark_learned_results.json), field.py / field_modern.py / benchmark.py / downsample.py (hand-set field and initial-corpus modern comparison → benchmark_results.json, downsample_results.json), verify_learned_independent.py (independent-engine cross-check).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image" Target="media/48671046742c7b18bb97989749641a5d772e9166.png"/><Relationship Id="rId12" Type="http://schemas.openxmlformats.org/officeDocument/2006/relationships/image" Target="media/f25aa0d66d7e6c553fa20931893384e70f1256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2026-07-01T11:47:49.765Z</dcterms:created>
  <dcterms:modified xsi:type="dcterms:W3CDTF">2026-07-01T11:47:49.766Z</dcterms:modified>
</cp:coreProperties>
</file>

<file path=docProps/custom.xml><?xml version="1.0" encoding="utf-8"?>
<Properties xmlns="http://schemas.openxmlformats.org/officeDocument/2006/custom-properties" xmlns:vt="http://schemas.openxmlformats.org/officeDocument/2006/docPropsVTypes"/>
</file>