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0" w:after="200"/>
      </w:pPr>
      <w:r>
        <w:rPr>
          <w:rFonts w:ascii="Calibri" w:hAnsi="Calibri"/>
          <w:b/>
          <w:color w:val="1565C0"/>
          <w:sz w:val="72"/>
        </w:rPr>
        <w:t>RATAL GROUP</w:t>
      </w:r>
    </w:p>
    <w:p>
      <w:pPr>
        <w:jc w:val="center"/>
        <w:spacing w:before="0" w:after="100"/>
      </w:pPr>
      <w:r>
        <w:rPr>
          <w:rFonts w:ascii="Calibri" w:hAnsi="Calibri"/>
          <w:color w:val="6B7C93"/>
          <w:sz w:val="32"/>
        </w:rPr>
        <w:t>Travel Agency &amp; Corporate Management System</w:t>
      </w:r>
    </w:p>
    <w:p>
      <w:pPr>
        <w:jc w:val="center"/>
        <w:spacing w:before="200" w:after="200"/>
        <w:pBdr>
          <w:bottom w:val="single" w:sz="4" w:space="4" w:color="FF385C"/>
        </w:pBdr>
      </w:pPr>
    </w:p>
    <w:p>
      <w:pPr>
        <w:jc w:val="center"/>
        <w:spacing w:before="300" w:after="100"/>
      </w:pPr>
      <w:r>
        <w:rPr>
          <w:rFonts w:ascii="Calibri" w:hAnsi="Calibri"/>
          <w:b/>
          <w:color w:val="1A2E3D"/>
          <w:sz w:val="56"/>
        </w:rPr>
        <w:t>UNIFIED SYSTEM REQUIREMENTS</w:t>
      </w:r>
    </w:p>
    <w:p>
      <w:pPr>
        <w:jc w:val="center"/>
        <w:spacing w:before="0" w:after="60"/>
      </w:pPr>
      <w:r>
        <w:rPr>
          <w:rFonts w:ascii="Calibri" w:hAnsi="Calibri"/>
          <w:color w:val="999999"/>
          <w:sz w:val="22"/>
        </w:rPr>
        <w:t>Version 8.0  |  Combined Edition  |  July 2026  |  CONFIDENTIAL</w:t>
      </w:r>
    </w:p>
    <w:p>
      <w:pPr>
        <w:jc w:val="center"/>
        <w:spacing w:before="0" w:after="0"/>
      </w:pPr>
      <w:r>
        <w:rPr>
          <w:rFonts w:ascii="Calibri" w:hAnsi="Calibri"/>
          <w:color w:val="6B7C93"/>
          <w:sz w:val="22"/>
        </w:rPr>
        <w:t>Author: Mahmood Shahbaz</w:t>
      </w:r>
    </w:p>
    <w:p>
      <w:pPr>
        <w:jc w:val="center"/>
        <w:spacing w:before="400" w:after="60"/>
      </w:pPr>
      <w:r>
        <w:rPr>
          <w:rFonts w:ascii="Calibri" w:hAnsi="Calibri"/>
          <w:color w:val="1A2E3D"/>
          <w:sz w:val="26"/>
        </w:rPr>
        <w:t>System Requirements · Site Master · Budget vs Actual Framework</w:t>
      </w:r>
    </w:p>
    <w:p>
      <w:pPr>
        <w:jc w:val="center"/>
        <w:spacing w:before="0" w:after="60"/>
      </w:pPr>
      <w:r>
        <w:rPr>
          <w:rFonts w:ascii="Calibri" w:hAnsi="Calibri"/>
          <w:color w:val="6B7C93"/>
          <w:sz w:val="22"/>
        </w:rPr>
        <w:t>Sections 1–28  |  Appendices A–B  |  NISU · TISU · CISU · ITSU  |  All 10 Site Master Questions Resolved</w:t>
      </w:r>
    </w:p>
    <w:p>
      <w:pPr>
        <w:jc w:val="center"/>
        <w:spacing w:before="120" w:after="60"/>
      </w:pPr>
      <w:r>
        <w:rPr>
          <w:rFonts w:ascii="Calibri" w:hAnsi="Calibri"/>
          <w:b/>
          <w:color w:val="FF385C"/>
          <w:sz w:val="24"/>
        </w:rPr>
        <w:t>Go-Live Target: July 31, 2026 (Phase 1)</w:t>
      </w:r>
    </w:p>
    <w:p>
      <w:r>
        <w:br w:type="page"/>
      </w:r>
    </w:p>
    <w:p>
      <w:pPr>
        <w:pStyle w:val="Heading1"/>
        <w:spacing w:before="320" w:after="120"/>
        <w:pBdr>
          <w:bottom w:val="single" w:sz="6" w:space="4" w:color="1565C0"/>
        </w:pBdr>
      </w:pPr>
      <w:r>
        <w:rPr>
          <w:rFonts w:ascii="Calibri" w:hAnsi="Calibri"/>
          <w:b/>
          <w:color w:val="1565C0"/>
          <w:sz w:val="28"/>
        </w:rPr>
        <w:t>Design Principles &amp; Technology Stack</w:t>
      </w:r>
    </w:p>
    <w:tbl>
      <w:tblPr>
        <w:tblStyle w:val="TableGrid"/>
        <w:tblW w:type="auto" w:w="0"/>
        <w:tblLook w:firstColumn="1" w:firstRow="1" w:lastColumn="0" w:lastRow="0" w:noHBand="0" w:noVBand="1" w:val="04A0"/>
      </w:tblPr>
      <w:tblGrid>
        <w:gridCol w:w="3000"/>
        <w:gridCol w:w="6300"/>
      </w:tblGrid>
      <w:tr>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Principle</w:t>
            </w:r>
          </w:p>
        </w:tc>
        <w:tc>
          <w:tcPr>
            <w:tcW w:type="dxa" w:w="6300"/>
            <w:shd w:val="clear" w:color="auto" w:fill="1565C0"/>
            <w:tcMar>
              <w:top w:w="60" w:type="dxa"/>
              <w:bottom w:w="60" w:type="dxa"/>
              <w:left w:w="80" w:type="dxa"/>
              <w:right w:w="80" w:type="dxa"/>
            </w:tcMar>
            <w:vAlign w:val="center"/>
          </w:tcPr>
          <w:p>
            <w:r/>
            <w:r>
              <w:rPr>
                <w:rFonts w:ascii="Calibri" w:hAnsi="Calibri"/>
                <w:b/>
                <w:color w:val="FFFFFF"/>
                <w:sz w:val="19"/>
              </w:rPr>
              <w:t>Rule</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sz w:val="19"/>
              </w:rPr>
              <w:t>Single Entry</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No data entered twice. Field team → System → Accounts — one flow.</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sz w:val="19"/>
              </w:rPr>
              <w:t>Form Design</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Every form at its own URL. Mobile-friendly, shareable via Telegram/WhatsApp, any device.</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sz w:val="19"/>
              </w:rPr>
              <w:t>Dashboard</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Every user sees ONLY what their role + entity permit. Role + Entity determines all visible data.</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sz w:val="19"/>
              </w:rPr>
              <w:t>Stack</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React + Vite | Supabase (PostgreSQL + RLS) | Digital Ocean</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sz w:val="19"/>
              </w:rPr>
              <w:t>Language</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Arabic (RTL) + English — toggle on every screen</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sz w:val="19"/>
              </w:rPr>
              <w:t>Notifications</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Telegram Bot (@RatalGroupBot) — FREE</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sz w:val="19"/>
              </w:rPr>
              <w:t>ZATCA</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Phase 1 QR codes (live) | Phase 2 clearance (post go-live)</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sz w:val="19"/>
              </w:rPr>
              <w:t>Go-Live</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July 31, 2026 — Phase 1 only</w:t>
            </w:r>
          </w:p>
        </w:tc>
      </w:tr>
    </w:tbl>
    <w:p>
      <w:pPr>
        <w:spacing w:before="60" w:after="60"/>
      </w:pPr>
    </w:p>
    <w:tbl>
      <w:tblPr>
        <w:tblStyle w:val="TableGrid"/>
        <w:tblW w:type="auto" w:w="0"/>
        <w:tblLook w:firstColumn="1" w:firstRow="1" w:lastColumn="0" w:lastRow="0" w:noHBand="0" w:noVBand="1" w:val="04A0"/>
      </w:tblPr>
      <w:tblGrid>
        <w:gridCol w:w="1800"/>
        <w:gridCol w:w="4500"/>
        <w:gridCol w:w="30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Entity</w:t>
            </w:r>
          </w:p>
        </w:tc>
        <w:tc>
          <w:tcPr>
            <w:tcW w:type="dxa" w:w="4500"/>
            <w:shd w:val="clear" w:color="auto" w:fill="1565C0"/>
            <w:tcMar>
              <w:top w:w="60" w:type="dxa"/>
              <w:bottom w:w="60" w:type="dxa"/>
              <w:left w:w="80" w:type="dxa"/>
              <w:right w:w="80" w:type="dxa"/>
            </w:tcMar>
            <w:vAlign w:val="center"/>
          </w:tcPr>
          <w:p>
            <w:r/>
            <w:r>
              <w:rPr>
                <w:rFonts w:ascii="Calibri" w:hAnsi="Calibri"/>
                <w:b/>
                <w:color w:val="FFFFFF"/>
                <w:sz w:val="19"/>
              </w:rPr>
              <w:t>Full Name</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Theme Colour</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color w:val="1565C0"/>
                <w:sz w:val="19"/>
              </w:rPr>
              <w:t>RAT</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Ratal Tours and Travels</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Blue #1565C0</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color w:val="2E7D32"/>
                <w:sz w:val="19"/>
              </w:rPr>
              <w:t>GWT</w:t>
            </w:r>
          </w:p>
        </w:tc>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Green Wings Travel</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Green #2E7D32</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color w:val="5A32D4"/>
                <w:sz w:val="19"/>
              </w:rPr>
              <w:t>ACCSYS</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Ratal Advanced Technologies</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Purple #5A32D4</w:t>
            </w:r>
          </w:p>
        </w:tc>
      </w:tr>
    </w:tbl>
    <w:p>
      <w:pPr>
        <w:spacing w:before="60" w:after="60"/>
      </w:pPr>
    </w:p>
    <w:p>
      <w:pPr>
        <w:pStyle w:val="Heading1"/>
        <w:spacing w:before="320" w:after="120"/>
        <w:pBdr>
          <w:bottom w:val="single" w:sz="6" w:space="4" w:color="1565C0"/>
        </w:pBdr>
      </w:pPr>
      <w:r>
        <w:rPr>
          <w:rFonts w:ascii="Calibri" w:hAnsi="Calibri"/>
          <w:b/>
          <w:color w:val="1565C0"/>
          <w:sz w:val="28"/>
        </w:rPr>
        <w:t>Section 1 — Module Map by Entity</w:t>
      </w:r>
    </w:p>
    <w:p>
      <w:pPr>
        <w:pStyle w:val="Heading2"/>
        <w:spacing w:before="240" w:after="80"/>
      </w:pPr>
      <w:r>
        <w:rPr>
          <w:rFonts w:ascii="Calibri" w:hAnsi="Calibri"/>
          <w:b/>
          <w:color w:val="1A2E3D"/>
          <w:sz w:val="24"/>
        </w:rPr>
        <w:t>1.1  Common to All 3 Entities</w:t>
      </w:r>
    </w:p>
    <w:p>
      <w:pPr>
        <w:pStyle w:val="ListBullet"/>
        <w:spacing w:before="20" w:after="20"/>
      </w:pPr>
      <w:r>
        <w:rPr>
          <w:rFonts w:ascii="Calibri" w:hAnsi="Calibri"/>
          <w:sz w:val="20"/>
        </w:rPr>
        <w:t>Login &amp; User Roles (entity-aware, role-aware)</w:t>
      </w:r>
    </w:p>
    <w:p>
      <w:pPr>
        <w:pStyle w:val="ListBullet"/>
        <w:spacing w:before="20" w:after="20"/>
      </w:pPr>
      <w:r>
        <w:rPr>
          <w:rFonts w:ascii="Calibri" w:hAnsi="Calibri"/>
          <w:sz w:val="20"/>
        </w:rPr>
        <w:t>Dashboard (entity-specific KPIs, role-filtered layout)</w:t>
      </w:r>
    </w:p>
    <w:p>
      <w:pPr>
        <w:pStyle w:val="ListBullet"/>
        <w:spacing w:before="20" w:after="20"/>
      </w:pPr>
      <w:r>
        <w:rPr>
          <w:rFonts w:ascii="Calibri" w:hAnsi="Calibri"/>
          <w:sz w:val="20"/>
        </w:rPr>
        <w:t>Employee Engagement (mandatory — all staff, all locations)</w:t>
      </w:r>
    </w:p>
    <w:p>
      <w:pPr>
        <w:pStyle w:val="ListBullet"/>
        <w:spacing w:before="20" w:after="20"/>
      </w:pPr>
      <w:r>
        <w:rPr>
          <w:rFonts w:ascii="Calibri" w:hAnsi="Calibri"/>
          <w:sz w:val="20"/>
        </w:rPr>
        <w:t>Employees | Payroll (cash/bank split, GOSI, loans, penalties, OT) | EOS</w:t>
      </w:r>
    </w:p>
    <w:p>
      <w:pPr>
        <w:pStyle w:val="ListBullet"/>
        <w:spacing w:before="20" w:after="20"/>
      </w:pPr>
      <w:r>
        <w:rPr>
          <w:rFonts w:ascii="Calibri" w:hAnsi="Calibri"/>
          <w:sz w:val="20"/>
        </w:rPr>
        <w:t>Invoices (ZATCA Phase 1 QR) | Payments &amp; Receipts | Chart of Accounts / General Ledger</w:t>
      </w:r>
    </w:p>
    <w:p>
      <w:pPr>
        <w:pStyle w:val="ListBullet"/>
        <w:spacing w:before="20" w:after="20"/>
      </w:pPr>
      <w:r>
        <w:rPr>
          <w:rFonts w:ascii="Calibri" w:hAnsi="Calibri"/>
          <w:sz w:val="20"/>
        </w:rPr>
        <w:t>Journal Vouchers | Contra Vouchers | Day Book | VAT Summary (quarterly + yearly GAZT export)</w:t>
      </w:r>
    </w:p>
    <w:p>
      <w:pPr>
        <w:pStyle w:val="ListBullet"/>
        <w:spacing w:before="20" w:after="20"/>
      </w:pPr>
      <w:r>
        <w:rPr>
          <w:rFonts w:ascii="Calibri" w:hAnsi="Calibri"/>
          <w:sz w:val="20"/>
        </w:rPr>
        <w:t>Compliance Alerts (Iqama, Passport, QIWA, SCE, Vehicles, CR, GOSI, Municipality, CITC, Ministry)</w:t>
      </w:r>
    </w:p>
    <w:p>
      <w:pPr>
        <w:pStyle w:val="ListBullet"/>
        <w:spacing w:before="20" w:after="20"/>
      </w:pPr>
      <w:r>
        <w:rPr>
          <w:rFonts w:ascii="Calibri" w:hAnsi="Calibri"/>
          <w:sz w:val="20"/>
        </w:rPr>
        <w:t>Telegram Notifications | Reports</w:t>
      </w:r>
    </w:p>
    <w:p>
      <w:pPr>
        <w:pStyle w:val="Heading2"/>
        <w:spacing w:before="240" w:after="80"/>
      </w:pPr>
      <w:r>
        <w:rPr>
          <w:rFonts w:ascii="Calibri" w:hAnsi="Calibri"/>
          <w:b/>
          <w:color w:val="1A2E3D"/>
          <w:sz w:val="24"/>
        </w:rPr>
        <w:t>1.2  RAT + GWT — Travel Agency Modules</w:t>
      </w:r>
    </w:p>
    <w:p>
      <w:pPr>
        <w:pStyle w:val="ListBullet"/>
        <w:spacing w:before="20" w:after="20"/>
      </w:pPr>
      <w:r>
        <w:rPr>
          <w:rFonts w:ascii="Calibri" w:hAnsi="Calibri"/>
          <w:sz w:val="20"/>
        </w:rPr>
        <w:t>Air Tickets (manual entry + Amadeus CSV import)</w:t>
      </w:r>
    </w:p>
    <w:p>
      <w:pPr>
        <w:pStyle w:val="ListBullet"/>
        <w:spacing w:before="20" w:after="20"/>
      </w:pPr>
      <w:r>
        <w:rPr>
          <w:rFonts w:ascii="Calibri" w:hAnsi="Calibri"/>
          <w:sz w:val="20"/>
        </w:rPr>
        <w:t>Customers | Airlines | IATA / BSP | BSP Payments | Refunds &amp; Credit Notes</w:t>
      </w:r>
    </w:p>
    <w:p>
      <w:pPr>
        <w:pStyle w:val="ListBullet"/>
        <w:spacing w:before="20" w:after="20"/>
      </w:pPr>
      <w:r>
        <w:rPr>
          <w:rFonts w:ascii="Calibri" w:hAnsi="Calibri"/>
          <w:sz w:val="20"/>
        </w:rPr>
        <w:t>Hotels / Car Rentals / Resorts  [Phase 2]</w:t>
      </w:r>
    </w:p>
    <w:p>
      <w:pPr>
        <w:pStyle w:val="ListBullet"/>
        <w:spacing w:before="20" w:after="20"/>
      </w:pPr>
      <w:r>
        <w:rPr>
          <w:rFonts w:ascii="Calibri" w:hAnsi="Calibri"/>
          <w:sz w:val="20"/>
        </w:rPr>
        <w:t>Customer Balances | Statement of Account</w:t>
      </w:r>
    </w:p>
    <w:p>
      <w:pPr>
        <w:pStyle w:val="ListBullet"/>
        <w:spacing w:before="20" w:after="20"/>
      </w:pPr>
      <w:r>
        <w:rPr>
          <w:rFonts w:ascii="Calibri" w:hAnsi="Calibri"/>
          <w:sz w:val="20"/>
        </w:rPr>
        <w:t>16 Travel Sales Reports (from Mr. Hamdi's COBOL system)</w:t>
      </w:r>
    </w:p>
    <w:p>
      <w:pPr>
        <w:pStyle w:val="ListBullet"/>
        <w:spacing w:before="20" w:after="20"/>
      </w:pPr>
      <w:r>
        <w:rPr>
          <w:rFonts w:ascii="Calibri" w:hAnsi="Calibri"/>
          <w:sz w:val="20"/>
        </w:rPr>
        <w:t>Business Trip Expense Tracking</w:t>
      </w:r>
    </w:p>
    <w:p>
      <w:pPr>
        <w:pStyle w:val="Heading2"/>
        <w:spacing w:before="240" w:after="80"/>
      </w:pPr>
      <w:r>
        <w:rPr>
          <w:rFonts w:ascii="Calibri" w:hAnsi="Calibri"/>
          <w:b/>
          <w:color w:val="1A2E3D"/>
          <w:sz w:val="24"/>
        </w:rPr>
        <w:t>1.3  ACCSYS — Corporate Modules</w:t>
      </w:r>
    </w:p>
    <w:p>
      <w:pPr>
        <w:pStyle w:val="ListBullet"/>
        <w:spacing w:before="20" w:after="20"/>
      </w:pPr>
      <w:r>
        <w:rPr>
          <w:rFonts w:ascii="Calibri" w:hAnsi="Calibri"/>
          <w:sz w:val="20"/>
        </w:rPr>
        <w:t>Customers (STC, Mobily, Zain, Ministries, Banks) | Contractors (Nokia, Cisco, Huawei, ZTE, SBM, BMC, MIS)</w:t>
      </w:r>
    </w:p>
    <w:p>
      <w:pPr>
        <w:pStyle w:val="ListBullet"/>
        <w:spacing w:before="20" w:after="20"/>
      </w:pPr>
      <w:r>
        <w:rPr>
          <w:rFonts w:ascii="Calibri" w:hAnsi="Calibri"/>
          <w:sz w:val="20"/>
        </w:rPr>
        <w:t>Projects | Jobs (within Projects) | Job Activator</w:t>
      </w:r>
    </w:p>
    <w:p>
      <w:pPr>
        <w:pStyle w:val="ListBullet"/>
        <w:spacing w:before="20" w:after="20"/>
      </w:pPr>
      <w:r>
        <w:rPr>
          <w:rFonts w:ascii="Calibri" w:hAnsi="Calibri"/>
          <w:sz w:val="20"/>
        </w:rPr>
        <w:t>Site Master — Budget vs Actual per Job/Site  ★ NEW (see Site Master section below)</w:t>
      </w:r>
    </w:p>
    <w:p>
      <w:pPr>
        <w:pStyle w:val="ListBullet"/>
        <w:spacing w:before="20" w:after="20"/>
      </w:pPr>
      <w:r>
        <w:rPr>
          <w:rFonts w:ascii="Calibri" w:hAnsi="Calibri"/>
          <w:sz w:val="20"/>
        </w:rPr>
        <w:t>Internal Purchase Orders (ACC-PO-XXXX outgoing series)</w:t>
      </w:r>
    </w:p>
    <w:p>
      <w:pPr>
        <w:pStyle w:val="ListBullet"/>
        <w:spacing w:before="20" w:after="20"/>
      </w:pPr>
      <w:r>
        <w:rPr>
          <w:rFonts w:ascii="Calibri" w:hAnsi="Calibri"/>
          <w:sz w:val="20"/>
        </w:rPr>
        <w:t>Money Requests (8-stage workflow) | PM Budget Planning</w:t>
      </w:r>
    </w:p>
    <w:p>
      <w:pPr>
        <w:pStyle w:val="ListBullet"/>
        <w:spacing w:before="20" w:after="20"/>
      </w:pPr>
      <w:r>
        <w:rPr>
          <w:rFonts w:ascii="Calibri" w:hAnsi="Calibri"/>
          <w:sz w:val="20"/>
        </w:rPr>
        <w:t>Supplier PO Management | Sub-contractor Management | Vendor/Party List</w:t>
      </w:r>
    </w:p>
    <w:p>
      <w:pPr>
        <w:pStyle w:val="ListBullet"/>
        <w:spacing w:before="20" w:after="20"/>
      </w:pPr>
      <w:r>
        <w:rPr>
          <w:rFonts w:ascii="Calibri" w:hAnsi="Calibri"/>
          <w:sz w:val="20"/>
        </w:rPr>
        <w:t>Expenses | Food Allowance | Overtime | Business Trip | Department Statements (15 types)</w:t>
      </w:r>
    </w:p>
    <w:p>
      <w:pPr>
        <w:pStyle w:val="Heading2"/>
        <w:spacing w:before="240" w:after="80"/>
      </w:pPr>
      <w:r>
        <w:rPr>
          <w:rFonts w:ascii="Calibri" w:hAnsi="Calibri"/>
          <w:b/>
          <w:color w:val="1A2E3D"/>
          <w:sz w:val="24"/>
        </w:rPr>
        <w:t>1.4  Field Team Apps (ACCSYS — Mobile URLs)</w:t>
      </w:r>
    </w:p>
    <w:p>
      <w:pPr>
        <w:pStyle w:val="ListBullet"/>
        <w:spacing w:before="20" w:after="20"/>
      </w:pPr>
      <w:r>
        <w:rPr>
          <w:rFonts w:ascii="Calibri" w:hAnsi="Calibri"/>
          <w:sz w:val="20"/>
        </w:rPr>
        <w:t>Expense Submission (Job Activator — Site# auto-fills Project# and Job#)</w:t>
      </w:r>
    </w:p>
    <w:p>
      <w:pPr>
        <w:pStyle w:val="ListBullet"/>
        <w:spacing w:before="20" w:after="20"/>
      </w:pPr>
      <w:r>
        <w:rPr>
          <w:rFonts w:ascii="Calibri" w:hAnsi="Calibri"/>
          <w:sz w:val="20"/>
        </w:rPr>
        <w:t>Food Allowance | Overtime | Car Maintenance Request</w:t>
      </w:r>
    </w:p>
    <w:p>
      <w:pPr>
        <w:pStyle w:val="ListBullet"/>
        <w:spacing w:before="20" w:after="20"/>
      </w:pPr>
      <w:r>
        <w:rPr>
          <w:rFonts w:ascii="Calibri" w:hAnsi="Calibri"/>
          <w:sz w:val="20"/>
        </w:rPr>
        <w:t>Site Survey [Phase 2 — enterprise version] | Site Status / Installation Progress</w:t>
      </w:r>
    </w:p>
    <w:p>
      <w:pPr>
        <w:pStyle w:val="ListBullet"/>
        <w:spacing w:before="20" w:after="20"/>
      </w:pPr>
      <w:r>
        <w:rPr>
          <w:rFonts w:ascii="Calibri" w:hAnsi="Calibri"/>
          <w:sz w:val="20"/>
        </w:rPr>
        <w:t>GPS Attendance | Employee Engagement (mandatory)</w:t>
      </w:r>
    </w:p>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2 — Authentication, User Roles &amp; Dashboard Access</w:t>
      </w:r>
    </w:p>
    <w:p>
      <w:pPr>
        <w:pStyle w:val="Heading2"/>
        <w:spacing w:before="240" w:after="80"/>
      </w:pPr>
      <w:r>
        <w:rPr>
          <w:rFonts w:ascii="Calibri" w:hAnsi="Calibri"/>
          <w:b/>
          <w:color w:val="1A2E3D"/>
          <w:sz w:val="24"/>
        </w:rPr>
        <w:t>2.1  User Role Matrix</w:t>
      </w:r>
    </w:p>
    <w:tbl>
      <w:tblPr>
        <w:tblStyle w:val="TableGrid"/>
        <w:tblW w:type="auto" w:w="0"/>
        <w:tblLook w:firstColumn="1" w:firstRow="1" w:lastColumn="0" w:lastRow="0" w:noHBand="0" w:noVBand="1" w:val="04A0"/>
      </w:tblPr>
      <w:tblGrid>
        <w:gridCol w:w="2200"/>
        <w:gridCol w:w="2000"/>
        <w:gridCol w:w="1800"/>
        <w:gridCol w:w="3300"/>
      </w:tblGrid>
      <w:tr>
        <w:tc>
          <w:tcPr>
            <w:tcW w:type="dxa" w:w="2200"/>
            <w:shd w:val="clear" w:color="auto" w:fill="1565C0"/>
            <w:tcMar>
              <w:top w:w="60" w:type="dxa"/>
              <w:bottom w:w="60" w:type="dxa"/>
              <w:left w:w="80" w:type="dxa"/>
              <w:right w:w="80" w:type="dxa"/>
            </w:tcMar>
            <w:vAlign w:val="center"/>
          </w:tcPr>
          <w:p>
            <w:r/>
            <w:r>
              <w:rPr>
                <w:rFonts w:ascii="Calibri" w:hAnsi="Calibri"/>
                <w:b/>
                <w:color w:val="FFFFFF"/>
                <w:sz w:val="19"/>
              </w:rPr>
              <w:t>Role</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Login</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Entity Access</w:t>
            </w:r>
          </w:p>
        </w:tc>
        <w:tc>
          <w:tcPr>
            <w:tcW w:type="dxa" w:w="3300"/>
            <w:shd w:val="clear" w:color="auto" w:fill="1565C0"/>
            <w:tcMar>
              <w:top w:w="60" w:type="dxa"/>
              <w:bottom w:w="60" w:type="dxa"/>
              <w:left w:w="80" w:type="dxa"/>
              <w:right w:w="80" w:type="dxa"/>
            </w:tcMar>
            <w:vAlign w:val="center"/>
          </w:tcPr>
          <w:p>
            <w:r/>
            <w:r>
              <w:rPr>
                <w:rFonts w:ascii="Calibri" w:hAnsi="Calibri"/>
                <w:b/>
                <w:color w:val="FFFFFF"/>
                <w:sz w:val="19"/>
              </w:rPr>
              <w:t>Dashboard</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sz w:val="19"/>
              </w:rPr>
              <w:t>SuperAdmin</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Email + Password</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ALL 3</w:t>
            </w:r>
          </w:p>
        </w:tc>
        <w:tc>
          <w:tcPr>
            <w:tcW w:type="dxa" w:w="3300"/>
            <w:shd w:val="clear" w:color="auto" w:fill="FFFFFF"/>
            <w:tcMar>
              <w:top w:w="60" w:type="dxa"/>
              <w:bottom w:w="60" w:type="dxa"/>
              <w:left w:w="80" w:type="dxa"/>
              <w:right w:w="80" w:type="dxa"/>
            </w:tcMar>
            <w:vAlign w:val="center"/>
          </w:tcPr>
          <w:p>
            <w:pPr>
              <w:jc w:val="left"/>
            </w:pPr>
            <w:r/>
            <w:r>
              <w:rPr>
                <w:rFonts w:ascii="Calibri" w:hAnsi="Calibri"/>
                <w:b w:val="0"/>
                <w:sz w:val="19"/>
              </w:rPr>
              <w:t>Entity switcher. All KPIs all entities.</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sz w:val="19"/>
              </w:rPr>
              <w:t>Admin / Accounts</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Email + Password</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Own entity</w:t>
            </w:r>
          </w:p>
        </w:tc>
        <w:tc>
          <w:tcPr>
            <w:tcW w:type="dxa" w:w="3300"/>
            <w:shd w:val="clear" w:color="auto" w:fill="F5F7FA"/>
            <w:tcMar>
              <w:top w:w="60" w:type="dxa"/>
              <w:bottom w:w="60" w:type="dxa"/>
              <w:left w:w="80" w:type="dxa"/>
              <w:right w:w="80" w:type="dxa"/>
            </w:tcMar>
            <w:vAlign w:val="center"/>
          </w:tcPr>
          <w:p>
            <w:pPr>
              <w:jc w:val="left"/>
            </w:pPr>
            <w:r/>
            <w:r>
              <w:rPr>
                <w:rFonts w:ascii="Calibri" w:hAnsi="Calibri"/>
                <w:b w:val="0"/>
                <w:sz w:val="19"/>
              </w:rPr>
              <w:t>Full entity dashboard. All modules.</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sz w:val="19"/>
              </w:rPr>
              <w:t>Department Head</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Email + Password</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Own entity</w:t>
            </w:r>
          </w:p>
        </w:tc>
        <w:tc>
          <w:tcPr>
            <w:tcW w:type="dxa" w:w="3300"/>
            <w:shd w:val="clear" w:color="auto" w:fill="FFFFFF"/>
            <w:tcMar>
              <w:top w:w="60" w:type="dxa"/>
              <w:bottom w:w="60" w:type="dxa"/>
              <w:left w:w="80" w:type="dxa"/>
              <w:right w:w="80" w:type="dxa"/>
            </w:tcMar>
            <w:vAlign w:val="center"/>
          </w:tcPr>
          <w:p>
            <w:pPr>
              <w:jc w:val="left"/>
            </w:pPr>
            <w:r/>
            <w:r>
              <w:rPr>
                <w:rFonts w:ascii="Calibri" w:hAnsi="Calibri"/>
                <w:b w:val="0"/>
                <w:sz w:val="19"/>
              </w:rPr>
              <w:t>Dept-filtered: pending approvals, dept projects, dept spend.</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sz w:val="19"/>
              </w:rPr>
              <w:t>Project Manager</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Email + Password</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Own entity</w:t>
            </w:r>
          </w:p>
        </w:tc>
        <w:tc>
          <w:tcPr>
            <w:tcW w:type="dxa" w:w="3300"/>
            <w:shd w:val="clear" w:color="auto" w:fill="F5F7FA"/>
            <w:tcMar>
              <w:top w:w="60" w:type="dxa"/>
              <w:bottom w:w="60" w:type="dxa"/>
              <w:left w:w="80" w:type="dxa"/>
              <w:right w:w="80" w:type="dxa"/>
            </w:tcMar>
            <w:vAlign w:val="center"/>
          </w:tcPr>
          <w:p>
            <w:pPr>
              <w:jc w:val="left"/>
            </w:pPr>
            <w:r/>
            <w:r>
              <w:rPr>
                <w:rFonts w:ascii="Calibri" w:hAnsi="Calibri"/>
                <w:b w:val="0"/>
                <w:sz w:val="19"/>
              </w:rPr>
              <w:t>Own projects + jobs. Money Request form.</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sz w:val="19"/>
              </w:rPr>
              <w:t>Travel Agent</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Email + Password</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Own entity</w:t>
            </w:r>
          </w:p>
        </w:tc>
        <w:tc>
          <w:tcPr>
            <w:tcW w:type="dxa" w:w="3300"/>
            <w:shd w:val="clear" w:color="auto" w:fill="FFFFFF"/>
            <w:tcMar>
              <w:top w:w="60" w:type="dxa"/>
              <w:bottom w:w="60" w:type="dxa"/>
              <w:left w:w="80" w:type="dxa"/>
              <w:right w:w="80" w:type="dxa"/>
            </w:tcMar>
            <w:vAlign w:val="center"/>
          </w:tcPr>
          <w:p>
            <w:pPr>
              <w:jc w:val="left"/>
            </w:pPr>
            <w:r/>
            <w:r>
              <w:rPr>
                <w:rFonts w:ascii="Calibri" w:hAnsi="Calibri"/>
                <w:b w:val="0"/>
                <w:sz w:val="19"/>
              </w:rPr>
              <w:t>Tickets, Customers, BSP, Refunds, Reports only.</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sz w:val="19"/>
              </w:rPr>
              <w:t>Field Employee</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Mobile + Session</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Own entity</w:t>
            </w:r>
          </w:p>
        </w:tc>
        <w:tc>
          <w:tcPr>
            <w:tcW w:type="dxa" w:w="3300"/>
            <w:shd w:val="clear" w:color="auto" w:fill="F5F7FA"/>
            <w:tcMar>
              <w:top w:w="60" w:type="dxa"/>
              <w:bottom w:w="60" w:type="dxa"/>
              <w:left w:w="80" w:type="dxa"/>
              <w:right w:w="80" w:type="dxa"/>
            </w:tcMar>
            <w:vAlign w:val="center"/>
          </w:tcPr>
          <w:p>
            <w:pPr>
              <w:jc w:val="left"/>
            </w:pPr>
            <w:r/>
            <w:r>
              <w:rPr>
                <w:rFonts w:ascii="Calibri" w:hAnsi="Calibri"/>
                <w:b w:val="0"/>
                <w:sz w:val="19"/>
              </w:rPr>
              <w:t>Mobile: own submissions only. Submit forms only.</w:t>
            </w:r>
          </w:p>
        </w:tc>
      </w:tr>
    </w:tbl>
    <w:p>
      <w:pPr>
        <w:spacing w:before="60" w:after="60"/>
      </w:pPr>
    </w:p>
    <w:p>
      <w:pPr>
        <w:pBdr>
          <w:left w:val="thick" w:sz="12" w:space="8" w:color="1565C0"/>
        </w:pBdr>
        <w:ind w:left="360"/>
        <w:spacing w:before="60" w:after="60"/>
      </w:pPr>
      <w:r>
        <w:rPr>
          <w:rFonts w:ascii="Calibri" w:hAnsi="Calibri"/>
          <w:color w:val="1565C0"/>
          <w:sz w:val="19"/>
        </w:rPr>
        <w:t>Data Segregation: All filtering enforced via Supabase Row-Level Security (RLS). Users never see cross-entity data.</w:t>
      </w:r>
    </w:p>
    <w:p>
      <w:pPr>
        <w:pStyle w:val="Heading2"/>
        <w:spacing w:before="240" w:after="80"/>
      </w:pPr>
      <w:r>
        <w:rPr>
          <w:rFonts w:ascii="Calibri" w:hAnsi="Calibri"/>
          <w:b/>
          <w:color w:val="1A2E3D"/>
          <w:sz w:val="24"/>
        </w:rPr>
        <w:t>2.2  Money Request — 8-Stage Workflow</w:t>
      </w:r>
    </w:p>
    <w:tbl>
      <w:tblPr>
        <w:tblStyle w:val="TableGrid"/>
        <w:tblW w:type="auto" w:w="0"/>
        <w:tblLook w:firstColumn="1" w:firstRow="1" w:lastColumn="0" w:lastRow="0" w:noHBand="0" w:noVBand="1" w:val="04A0"/>
      </w:tblPr>
      <w:tblGrid>
        <w:gridCol w:w="1800"/>
        <w:gridCol w:w="2400"/>
        <w:gridCol w:w="3400"/>
        <w:gridCol w:w="17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Stage</w:t>
            </w:r>
          </w:p>
        </w:tc>
        <w:tc>
          <w:tcPr>
            <w:tcW w:type="dxa" w:w="2400"/>
            <w:shd w:val="clear" w:color="auto" w:fill="1565C0"/>
            <w:tcMar>
              <w:top w:w="60" w:type="dxa"/>
              <w:bottom w:w="60" w:type="dxa"/>
              <w:left w:w="80" w:type="dxa"/>
              <w:right w:w="80" w:type="dxa"/>
            </w:tcMar>
            <w:vAlign w:val="center"/>
          </w:tcPr>
          <w:p>
            <w:r/>
            <w:r>
              <w:rPr>
                <w:rFonts w:ascii="Calibri" w:hAnsi="Calibri"/>
                <w:b/>
                <w:color w:val="FFFFFF"/>
                <w:sz w:val="19"/>
              </w:rPr>
              <w:t>Status</w:t>
            </w:r>
          </w:p>
        </w:tc>
        <w:tc>
          <w:tcPr>
            <w:tcW w:type="dxa" w:w="3400"/>
            <w:shd w:val="clear" w:color="auto" w:fill="1565C0"/>
            <w:tcMar>
              <w:top w:w="60" w:type="dxa"/>
              <w:bottom w:w="60" w:type="dxa"/>
              <w:left w:w="80" w:type="dxa"/>
              <w:right w:w="80" w:type="dxa"/>
            </w:tcMar>
            <w:vAlign w:val="center"/>
          </w:tcPr>
          <w:p>
            <w:r/>
            <w:r>
              <w:rPr>
                <w:rFonts w:ascii="Calibri" w:hAnsi="Calibri"/>
                <w:b/>
                <w:color w:val="FFFFFF"/>
                <w:sz w:val="19"/>
              </w:rPr>
              <w:t>Action</w:t>
            </w:r>
          </w:p>
        </w:tc>
        <w:tc>
          <w:tcPr>
            <w:tcW w:type="dxa" w:w="1700"/>
            <w:shd w:val="clear" w:color="auto" w:fill="1565C0"/>
            <w:tcMar>
              <w:top w:w="60" w:type="dxa"/>
              <w:bottom w:w="60" w:type="dxa"/>
              <w:left w:w="80" w:type="dxa"/>
              <w:right w:w="80" w:type="dxa"/>
            </w:tcMar>
            <w:vAlign w:val="center"/>
          </w:tcPr>
          <w:p>
            <w:r/>
            <w:r>
              <w:rPr>
                <w:rFonts w:ascii="Calibri" w:hAnsi="Calibri"/>
                <w:b/>
                <w:color w:val="FFFFFF"/>
                <w:sz w:val="19"/>
              </w:rPr>
              <w:t>Notification</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sz w:val="19"/>
              </w:rPr>
              <w:t>1 — Request</w:t>
            </w:r>
          </w:p>
        </w:tc>
        <w:tc>
          <w:tcPr>
            <w:tcW w:type="dxa" w:w="2400"/>
            <w:shd w:val="clear" w:color="auto" w:fill="FFFFFF"/>
            <w:tcMar>
              <w:top w:w="60" w:type="dxa"/>
              <w:bottom w:w="60" w:type="dxa"/>
              <w:left w:w="80" w:type="dxa"/>
              <w:right w:w="80" w:type="dxa"/>
            </w:tcMar>
            <w:vAlign w:val="center"/>
          </w:tcPr>
          <w:p>
            <w:pPr>
              <w:jc w:val="left"/>
            </w:pPr>
            <w:r/>
            <w:r>
              <w:rPr>
                <w:rFonts w:ascii="Calibri" w:hAnsi="Calibri"/>
                <w:b w:val="0"/>
                <w:sz w:val="19"/>
              </w:rPr>
              <w:t>DH_PENDING</w:t>
            </w:r>
          </w:p>
        </w:tc>
        <w:tc>
          <w:tcPr>
            <w:tcW w:type="dxa" w:w="3400"/>
            <w:shd w:val="clear" w:color="auto" w:fill="FFFFFF"/>
            <w:tcMar>
              <w:top w:w="60" w:type="dxa"/>
              <w:bottom w:w="60" w:type="dxa"/>
              <w:left w:w="80" w:type="dxa"/>
              <w:right w:w="80" w:type="dxa"/>
            </w:tcMar>
            <w:vAlign w:val="center"/>
          </w:tcPr>
          <w:p>
            <w:pPr>
              <w:jc w:val="left"/>
            </w:pPr>
            <w:r/>
            <w:r>
              <w:rPr>
                <w:rFonts w:ascii="Calibri" w:hAnsi="Calibri"/>
                <w:b w:val="0"/>
                <w:sz w:val="19"/>
              </w:rPr>
              <w:t>PM/DH creates MR with line items (LineType, Contractor, ProjectNo, JobNo, SiteNo, IBAN, Amount)</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 Dept Head</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sz w:val="19"/>
              </w:rPr>
              <w:t>2 — DH Approval</w:t>
            </w:r>
          </w:p>
        </w:tc>
        <w:tc>
          <w:tcPr>
            <w:tcW w:type="dxa" w:w="2400"/>
            <w:shd w:val="clear" w:color="auto" w:fill="F5F7FA"/>
            <w:tcMar>
              <w:top w:w="60" w:type="dxa"/>
              <w:bottom w:w="60" w:type="dxa"/>
              <w:left w:w="80" w:type="dxa"/>
              <w:right w:w="80" w:type="dxa"/>
            </w:tcMar>
            <w:vAlign w:val="center"/>
          </w:tcPr>
          <w:p>
            <w:pPr>
              <w:jc w:val="left"/>
            </w:pPr>
            <w:r/>
            <w:r>
              <w:rPr>
                <w:rFonts w:ascii="Calibri" w:hAnsi="Calibri"/>
                <w:b w:val="0"/>
                <w:sz w:val="19"/>
              </w:rPr>
              <w:t>FIN_PENDING / REJECTED</w:t>
            </w:r>
          </w:p>
        </w:tc>
        <w:tc>
          <w:tcPr>
            <w:tcW w:type="dxa" w:w="3400"/>
            <w:shd w:val="clear" w:color="auto" w:fill="F5F7FA"/>
            <w:tcMar>
              <w:top w:w="60" w:type="dxa"/>
              <w:bottom w:w="60" w:type="dxa"/>
              <w:left w:w="80" w:type="dxa"/>
              <w:right w:w="80" w:type="dxa"/>
            </w:tcMar>
            <w:vAlign w:val="center"/>
          </w:tcPr>
          <w:p>
            <w:pPr>
              <w:jc w:val="left"/>
            </w:pPr>
            <w:r/>
            <w:r>
              <w:rPr>
                <w:rFonts w:ascii="Calibri" w:hAnsi="Calibri"/>
                <w:b w:val="0"/>
                <w:sz w:val="19"/>
              </w:rPr>
              <w:t>DH approves or rejects</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Approved → Accounts | Rejected → Requestor</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sz w:val="19"/>
              </w:rPr>
              <w:t>3 — Accounts View</w:t>
            </w:r>
          </w:p>
        </w:tc>
        <w:tc>
          <w:tcPr>
            <w:tcW w:type="dxa" w:w="2400"/>
            <w:shd w:val="clear" w:color="auto" w:fill="FFFFFF"/>
            <w:tcMar>
              <w:top w:w="60" w:type="dxa"/>
              <w:bottom w:w="60" w:type="dxa"/>
              <w:left w:w="80" w:type="dxa"/>
              <w:right w:w="80" w:type="dxa"/>
            </w:tcMar>
            <w:vAlign w:val="center"/>
          </w:tcPr>
          <w:p>
            <w:pPr>
              <w:jc w:val="left"/>
            </w:pPr>
            <w:r/>
            <w:r>
              <w:rPr>
                <w:rFonts w:ascii="Calibri" w:hAnsi="Calibri"/>
                <w:b w:val="0"/>
                <w:sz w:val="19"/>
              </w:rPr>
              <w:t>FIN_PENDING</w:t>
            </w:r>
          </w:p>
        </w:tc>
        <w:tc>
          <w:tcPr>
            <w:tcW w:type="dxa" w:w="3400"/>
            <w:shd w:val="clear" w:color="auto" w:fill="FFFFFF"/>
            <w:tcMar>
              <w:top w:w="60" w:type="dxa"/>
              <w:bottom w:w="60" w:type="dxa"/>
              <w:left w:w="80" w:type="dxa"/>
              <w:right w:w="80" w:type="dxa"/>
            </w:tcMar>
            <w:vAlign w:val="center"/>
          </w:tcPr>
          <w:p>
            <w:pPr>
              <w:jc w:val="left"/>
            </w:pPr>
            <w:r/>
            <w:r>
              <w:rPr>
                <w:rFonts w:ascii="Calibri" w:hAnsi="Calibri"/>
                <w:b w:val="0"/>
                <w:sz w:val="19"/>
              </w:rPr>
              <w:t>Consolidated dashboard grouped Dept → Project</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sz w:val="19"/>
              </w:rPr>
              <w:t>4 — Supplier Payment</w:t>
            </w:r>
          </w:p>
        </w:tc>
        <w:tc>
          <w:tcPr>
            <w:tcW w:type="dxa" w:w="2400"/>
            <w:shd w:val="clear" w:color="auto" w:fill="F5F7FA"/>
            <w:tcMar>
              <w:top w:w="60" w:type="dxa"/>
              <w:bottom w:w="60" w:type="dxa"/>
              <w:left w:w="80" w:type="dxa"/>
              <w:right w:w="80" w:type="dxa"/>
            </w:tcMar>
            <w:vAlign w:val="center"/>
          </w:tcPr>
          <w:p>
            <w:pPr>
              <w:jc w:val="left"/>
            </w:pPr>
            <w:r/>
            <w:r>
              <w:rPr>
                <w:rFonts w:ascii="Calibri" w:hAnsi="Calibri"/>
                <w:b w:val="0"/>
                <w:sz w:val="19"/>
              </w:rPr>
              <w:t>SUPPLIER_PMT_REQUESTED</w:t>
            </w:r>
          </w:p>
        </w:tc>
        <w:tc>
          <w:tcPr>
            <w:tcW w:type="dxa" w:w="3400"/>
            <w:shd w:val="clear" w:color="auto" w:fill="F5F7FA"/>
            <w:tcMar>
              <w:top w:w="60" w:type="dxa"/>
              <w:bottom w:w="60" w:type="dxa"/>
              <w:left w:w="80" w:type="dxa"/>
              <w:right w:w="80" w:type="dxa"/>
            </w:tcMar>
            <w:vAlign w:val="center"/>
          </w:tcPr>
          <w:p>
            <w:pPr>
              <w:jc w:val="left"/>
            </w:pPr>
            <w:r/>
            <w:r>
              <w:rPr>
                <w:rFonts w:ascii="Calibri" w:hAnsi="Calibri"/>
                <w:b w:val="0"/>
                <w:sz w:val="19"/>
              </w:rPr>
              <w:t>Accounts pays supplier for SUPPLIER_PAYMENT lines</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sz w:val="19"/>
              </w:rPr>
              <w:t>5 — Funds Sent</w:t>
            </w:r>
          </w:p>
        </w:tc>
        <w:tc>
          <w:tcPr>
            <w:tcW w:type="dxa" w:w="2400"/>
            <w:shd w:val="clear" w:color="auto" w:fill="FFFFFF"/>
            <w:tcMar>
              <w:top w:w="60" w:type="dxa"/>
              <w:bottom w:w="60" w:type="dxa"/>
              <w:left w:w="80" w:type="dxa"/>
              <w:right w:w="80" w:type="dxa"/>
            </w:tcMar>
            <w:vAlign w:val="center"/>
          </w:tcPr>
          <w:p>
            <w:pPr>
              <w:jc w:val="left"/>
            </w:pPr>
            <w:r/>
            <w:r>
              <w:rPr>
                <w:rFonts w:ascii="Calibri" w:hAnsi="Calibri"/>
                <w:b w:val="0"/>
                <w:sz w:val="19"/>
              </w:rPr>
              <w:t>FUNDS_SENT</w:t>
            </w:r>
          </w:p>
        </w:tc>
        <w:tc>
          <w:tcPr>
            <w:tcW w:type="dxa" w:w="3400"/>
            <w:shd w:val="clear" w:color="auto" w:fill="FFFFFF"/>
            <w:tcMar>
              <w:top w:w="60" w:type="dxa"/>
              <w:bottom w:w="60" w:type="dxa"/>
              <w:left w:w="80" w:type="dxa"/>
              <w:right w:w="80" w:type="dxa"/>
            </w:tcMar>
            <w:vAlign w:val="center"/>
          </w:tcPr>
          <w:p>
            <w:pPr>
              <w:jc w:val="left"/>
            </w:pPr>
            <w:r/>
            <w:r>
              <w:rPr>
                <w:rFonts w:ascii="Calibri" w:hAnsi="Calibri"/>
                <w:b w:val="0"/>
                <w:sz w:val="19"/>
              </w:rPr>
              <w:t>Transfer: ANB-77 (TISU) or ANB-39 (NISU/ITSU/CISU). Auto Contra Voucher.</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 DH (RECEIVING)</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sz w:val="19"/>
              </w:rPr>
              <w:t>6 — Distribution</w:t>
            </w:r>
          </w:p>
        </w:tc>
        <w:tc>
          <w:tcPr>
            <w:tcW w:type="dxa" w:w="2400"/>
            <w:shd w:val="clear" w:color="auto" w:fill="F5F7FA"/>
            <w:tcMar>
              <w:top w:w="60" w:type="dxa"/>
              <w:bottom w:w="60" w:type="dxa"/>
              <w:left w:w="80" w:type="dxa"/>
              <w:right w:w="80" w:type="dxa"/>
            </w:tcMar>
            <w:vAlign w:val="center"/>
          </w:tcPr>
          <w:p>
            <w:pPr>
              <w:jc w:val="left"/>
            </w:pPr>
            <w:r/>
            <w:r>
              <w:rPr>
                <w:rFonts w:ascii="Calibri" w:hAnsi="Calibri"/>
                <w:b w:val="0"/>
                <w:sz w:val="19"/>
              </w:rPr>
              <w:t>DISTRIBUTION</w:t>
            </w:r>
          </w:p>
        </w:tc>
        <w:tc>
          <w:tcPr>
            <w:tcW w:type="dxa" w:w="3400"/>
            <w:shd w:val="clear" w:color="auto" w:fill="F5F7FA"/>
            <w:tcMar>
              <w:top w:w="60" w:type="dxa"/>
              <w:bottom w:w="60" w:type="dxa"/>
              <w:left w:w="80" w:type="dxa"/>
              <w:right w:w="80" w:type="dxa"/>
            </w:tcMar>
            <w:vAlign w:val="center"/>
          </w:tcPr>
          <w:p>
            <w:pPr>
              <w:jc w:val="left"/>
            </w:pPr>
            <w:r/>
            <w:r>
              <w:rPr>
                <w:rFonts w:ascii="Calibri" w:hAnsi="Calibri"/>
                <w:b w:val="0"/>
                <w:sz w:val="19"/>
              </w:rPr>
              <w:t>Dept distributes to employees/small suppliers</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Employee marks RECEIVED</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sz w:val="19"/>
              </w:rPr>
              <w:t>7 — Supplier Complete</w:t>
            </w:r>
          </w:p>
        </w:tc>
        <w:tc>
          <w:tcPr>
            <w:tcW w:type="dxa" w:w="2400"/>
            <w:shd w:val="clear" w:color="auto" w:fill="FFFFFF"/>
            <w:tcMar>
              <w:top w:w="60" w:type="dxa"/>
              <w:bottom w:w="60" w:type="dxa"/>
              <w:left w:w="80" w:type="dxa"/>
              <w:right w:w="80" w:type="dxa"/>
            </w:tcMar>
            <w:vAlign w:val="center"/>
          </w:tcPr>
          <w:p>
            <w:pPr>
              <w:jc w:val="left"/>
            </w:pPr>
            <w:r/>
            <w:r>
              <w:rPr>
                <w:rFonts w:ascii="Calibri" w:hAnsi="Calibri"/>
                <w:b w:val="0"/>
                <w:sz w:val="19"/>
              </w:rPr>
              <w:t>SUPPLIER_PMT_COMPLETED</w:t>
            </w:r>
          </w:p>
        </w:tc>
        <w:tc>
          <w:tcPr>
            <w:tcW w:type="dxa" w:w="3400"/>
            <w:shd w:val="clear" w:color="auto" w:fill="FFFFFF"/>
            <w:tcMar>
              <w:top w:w="60" w:type="dxa"/>
              <w:bottom w:w="60" w:type="dxa"/>
              <w:left w:w="80" w:type="dxa"/>
              <w:right w:w="80" w:type="dxa"/>
            </w:tcMar>
            <w:vAlign w:val="center"/>
          </w:tcPr>
          <w:p>
            <w:pPr>
              <w:jc w:val="left"/>
            </w:pPr>
            <w:r/>
            <w:r>
              <w:rPr>
                <w:rFonts w:ascii="Calibri" w:hAnsi="Calibri"/>
                <w:b w:val="0"/>
                <w:sz w:val="19"/>
              </w:rPr>
              <w:t>After direct supplier payment confirmed</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sz w:val="19"/>
              </w:rPr>
              <w:t>8 — Closed</w:t>
            </w:r>
          </w:p>
        </w:tc>
        <w:tc>
          <w:tcPr>
            <w:tcW w:type="dxa" w:w="2400"/>
            <w:shd w:val="clear" w:color="auto" w:fill="F5F7FA"/>
            <w:tcMar>
              <w:top w:w="60" w:type="dxa"/>
              <w:bottom w:w="60" w:type="dxa"/>
              <w:left w:w="80" w:type="dxa"/>
              <w:right w:w="80" w:type="dxa"/>
            </w:tcMar>
            <w:vAlign w:val="center"/>
          </w:tcPr>
          <w:p>
            <w:pPr>
              <w:jc w:val="left"/>
            </w:pPr>
            <w:r/>
            <w:r>
              <w:rPr>
                <w:rFonts w:ascii="Calibri" w:hAnsi="Calibri"/>
                <w:b w:val="0"/>
                <w:sz w:val="19"/>
              </w:rPr>
              <w:t>CLOSED</w:t>
            </w:r>
          </w:p>
        </w:tc>
        <w:tc>
          <w:tcPr>
            <w:tcW w:type="dxa" w:w="3400"/>
            <w:shd w:val="clear" w:color="auto" w:fill="F5F7FA"/>
            <w:tcMar>
              <w:top w:w="60" w:type="dxa"/>
              <w:bottom w:w="60" w:type="dxa"/>
              <w:left w:w="80" w:type="dxa"/>
              <w:right w:w="80" w:type="dxa"/>
            </w:tcMar>
            <w:vAlign w:val="center"/>
          </w:tcPr>
          <w:p>
            <w:pPr>
              <w:jc w:val="left"/>
            </w:pPr>
            <w:r/>
            <w:r>
              <w:rPr>
                <w:rFonts w:ascii="Calibri" w:hAnsi="Calibri"/>
                <w:b w:val="0"/>
                <w:sz w:val="19"/>
              </w:rPr>
              <w:t>All lines settled and reconciled</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w:t>
            </w:r>
          </w:p>
        </w:tc>
      </w:tr>
    </w:tbl>
    <w:p>
      <w:pPr>
        <w:spacing w:before="60" w:after="60"/>
      </w:pPr>
    </w:p>
    <w:p>
      <w:pPr>
        <w:pStyle w:val="Heading2"/>
        <w:spacing w:before="240" w:after="80"/>
      </w:pPr>
      <w:r>
        <w:rPr>
          <w:rFonts w:ascii="Calibri" w:hAnsi="Calibri"/>
          <w:b/>
          <w:color w:val="1A2E3D"/>
          <w:sz w:val="24"/>
        </w:rPr>
        <w:t>2.3  Forms — Separate Window Design</w:t>
      </w:r>
    </w:p>
    <w:p>
      <w:pPr>
        <w:spacing w:before="40" w:after="60"/>
      </w:pPr>
      <w:r>
        <w:rPr>
          <w:rFonts w:ascii="Calibri" w:hAnsi="Calibri"/>
          <w:i w:val="0"/>
          <w:sz w:val="20"/>
        </w:rPr>
        <w:t>Every form opens at its own dedicated URL, shareable via Telegram/WhatsApp. Works on any mobile browser without app installation. After submission: shows Request# and Telegram confirmation.</w:t>
      </w:r>
    </w:p>
    <w:p>
      <w:pPr>
        <w:spacing w:before="40" w:after="60"/>
      </w:pPr>
      <w:r>
        <w:rPr>
          <w:rFonts w:ascii="Calibri" w:hAnsi="Calibri"/>
          <w:i w:val="0"/>
          <w:sz w:val="20"/>
        </w:rPr>
        <w:t>Form URLs: /forms/expense | /forms/food-allowance | /forms/overtime | /forms/money-request | /forms/car-maintenance | /forms/po-request</w:t>
      </w:r>
    </w:p>
    <w:p>
      <w:pPr>
        <w:pStyle w:val="Heading2"/>
        <w:spacing w:before="240" w:after="80"/>
      </w:pPr>
      <w:r>
        <w:rPr>
          <w:rFonts w:ascii="Calibri" w:hAnsi="Calibri"/>
          <w:b/>
          <w:color w:val="1A2E3D"/>
          <w:sz w:val="24"/>
        </w:rPr>
        <w:t>2.4  Field Staff Authentication</w:t>
      </w:r>
    </w:p>
    <w:p>
      <w:pPr>
        <w:spacing w:before="40" w:after="60"/>
      </w:pPr>
      <w:r>
        <w:rPr>
          <w:rFonts w:ascii="Calibri" w:hAnsi="Calibri"/>
          <w:i w:val="0"/>
          <w:sz w:val="20"/>
        </w:rPr>
        <w:t>First login (once per device): Mobile# + last 4 digits as PIN → 30-day session token. Every subsequent visit: opens URL, sees name, taps Enter — auto-login. Admin can revoke any session. Token bound to device fingerprint.</w:t>
      </w:r>
    </w:p>
    <w:p>
      <w:pPr>
        <w:spacing w:before="60" w:after="60"/>
      </w:pPr>
    </w:p>
    <w:p>
      <w:pPr>
        <w:pStyle w:val="Heading1"/>
        <w:spacing w:before="320" w:after="120"/>
        <w:pBdr>
          <w:bottom w:val="single" w:sz="6" w:space="4" w:color="1565C0"/>
        </w:pBdr>
      </w:pPr>
      <w:r>
        <w:rPr>
          <w:rFonts w:ascii="Calibri" w:hAnsi="Calibri"/>
          <w:b/>
          <w:color w:val="1565C0"/>
          <w:sz w:val="28"/>
        </w:rPr>
        <w:t>Section 3 — Departments</w:t>
      </w:r>
    </w:p>
    <w:tbl>
      <w:tblPr>
        <w:tblStyle w:val="TableGrid"/>
        <w:tblW w:type="auto" w:w="0"/>
        <w:tblLook w:firstColumn="1" w:firstRow="1" w:lastColumn="0" w:lastRow="0" w:noHBand="0" w:noVBand="1" w:val="04A0"/>
      </w:tblPr>
      <w:tblGrid>
        <w:gridCol w:w="1800"/>
        <w:gridCol w:w="4500"/>
        <w:gridCol w:w="30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Code</w:t>
            </w:r>
          </w:p>
        </w:tc>
        <w:tc>
          <w:tcPr>
            <w:tcW w:type="dxa" w:w="4500"/>
            <w:shd w:val="clear" w:color="auto" w:fill="1565C0"/>
            <w:tcMar>
              <w:top w:w="60" w:type="dxa"/>
              <w:bottom w:w="60" w:type="dxa"/>
              <w:left w:w="80" w:type="dxa"/>
              <w:right w:w="80" w:type="dxa"/>
            </w:tcMar>
            <w:vAlign w:val="center"/>
          </w:tcPr>
          <w:p>
            <w:r/>
            <w:r>
              <w:rPr>
                <w:rFonts w:ascii="Calibri" w:hAnsi="Calibri"/>
                <w:b/>
                <w:color w:val="FFFFFF"/>
                <w:sz w:val="19"/>
              </w:rPr>
              <w:t>Full Name</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Entity</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NISU</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Network Infrastructure Services Unit</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ACCSYS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TISU</w:t>
            </w:r>
          </w:p>
        </w:tc>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Tower Infrastructure Services Unit</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ACCSYS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CISU</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Civil Infrastructure Services Unit</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ACCSYS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ITSU</w:t>
            </w:r>
          </w:p>
        </w:tc>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IT Services Unit</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ACCSYS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OFFICE</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Office / Administration</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ACCSYS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TRAVELS</w:t>
            </w:r>
          </w:p>
        </w:tc>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Travel Team</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RAT / GWT</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SAUDIS</w:t>
            </w:r>
          </w:p>
        </w:tc>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Saudi Nationals</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ALL</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ACCOUNTS</w:t>
            </w:r>
          </w:p>
        </w:tc>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Finance / Accounts Department</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ALL</w:t>
            </w:r>
          </w:p>
        </w:tc>
      </w:tr>
    </w:tbl>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4 — Employee Database</w:t>
      </w:r>
    </w:p>
    <w:p>
      <w:pPr>
        <w:pStyle w:val="Heading2"/>
        <w:spacing w:before="240" w:after="80"/>
      </w:pPr>
      <w:r>
        <w:rPr>
          <w:rFonts w:ascii="Calibri" w:hAnsi="Calibri"/>
          <w:b/>
          <w:color w:val="1A2E3D"/>
          <w:sz w:val="24"/>
        </w:rPr>
        <w:t>4.1  Employee Categories</w:t>
      </w:r>
    </w:p>
    <w:tbl>
      <w:tblPr>
        <w:tblStyle w:val="TableGrid"/>
        <w:tblW w:type="auto" w:w="0"/>
        <w:tblLook w:firstColumn="1" w:firstRow="1" w:lastColumn="0" w:lastRow="0" w:noHBand="0" w:noVBand="1" w:val="04A0"/>
      </w:tblPr>
      <w:tblGrid>
        <w:gridCol w:w="2500"/>
        <w:gridCol w:w="2800"/>
        <w:gridCol w:w="2300"/>
        <w:gridCol w:w="17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Category</w:t>
            </w:r>
          </w:p>
        </w:tc>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Description</w:t>
            </w:r>
          </w:p>
        </w:tc>
        <w:tc>
          <w:tcPr>
            <w:tcW w:type="dxa" w:w="2300"/>
            <w:shd w:val="clear" w:color="auto" w:fill="1565C0"/>
            <w:tcMar>
              <w:top w:w="60" w:type="dxa"/>
              <w:bottom w:w="60" w:type="dxa"/>
              <w:left w:w="80" w:type="dxa"/>
              <w:right w:w="80" w:type="dxa"/>
            </w:tcMar>
            <w:vAlign w:val="center"/>
          </w:tcPr>
          <w:p>
            <w:r/>
            <w:r>
              <w:rPr>
                <w:rFonts w:ascii="Calibri" w:hAnsi="Calibri"/>
                <w:b/>
                <w:color w:val="FFFFFF"/>
                <w:sz w:val="19"/>
              </w:rPr>
              <w:t>Payroll Method</w:t>
            </w:r>
          </w:p>
        </w:tc>
        <w:tc>
          <w:tcPr>
            <w:tcW w:type="dxa" w:w="1700"/>
            <w:shd w:val="clear" w:color="auto" w:fill="1565C0"/>
            <w:tcMar>
              <w:top w:w="60" w:type="dxa"/>
              <w:bottom w:w="60" w:type="dxa"/>
              <w:left w:w="80" w:type="dxa"/>
              <w:right w:w="80" w:type="dxa"/>
            </w:tcMar>
            <w:vAlign w:val="center"/>
          </w:tcPr>
          <w:p>
            <w:r/>
            <w:r>
              <w:rPr>
                <w:rFonts w:ascii="Calibri" w:hAnsi="Calibri"/>
                <w:b/>
                <w:color w:val="FFFFFF"/>
                <w:sz w:val="19"/>
              </w:rPr>
              <w:t>Loan Eligible</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sz w:val="19"/>
              </w:rPr>
              <w:t>Ratal Sponsored</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Under Ratal Iqama</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Cash + Bank split</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YES</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sz w:val="19"/>
              </w:rPr>
              <w:t>TRAVELS</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Travel agency staff</w:t>
            </w:r>
          </w:p>
        </w:tc>
        <w:tc>
          <w:tcPr>
            <w:tcW w:type="dxa" w:w="2300"/>
            <w:shd w:val="clear" w:color="auto" w:fill="F5F7FA"/>
            <w:tcMar>
              <w:top w:w="60" w:type="dxa"/>
              <w:bottom w:w="60" w:type="dxa"/>
              <w:left w:w="80" w:type="dxa"/>
              <w:right w:w="80" w:type="dxa"/>
            </w:tcMar>
            <w:vAlign w:val="center"/>
          </w:tcPr>
          <w:p>
            <w:pPr>
              <w:jc w:val="left"/>
            </w:pPr>
            <w:r/>
            <w:r>
              <w:rPr>
                <w:rFonts w:ascii="Calibri" w:hAnsi="Calibri"/>
                <w:b w:val="0"/>
                <w:sz w:val="19"/>
              </w:rPr>
              <w:t>Cash + Bank split</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YES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sz w:val="19"/>
              </w:rPr>
              <w:t>SAUDIS</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Saudi nationals</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Full Bank only</w:t>
            </w:r>
          </w:p>
        </w:tc>
        <w:tc>
          <w:tcPr>
            <w:tcW w:type="dxa" w:w="1700"/>
            <w:shd w:val="clear" w:color="auto" w:fill="FFFFFF"/>
            <w:tcMar>
              <w:top w:w="60" w:type="dxa"/>
              <w:bottom w:w="60" w:type="dxa"/>
              <w:left w:w="80" w:type="dxa"/>
              <w:right w:w="80" w:type="dxa"/>
            </w:tcMar>
            <w:vAlign w:val="center"/>
          </w:tcPr>
          <w:p>
            <w:pPr>
              <w:jc w:val="left"/>
            </w:pPr>
            <w:r/>
            <w:r>
              <w:rPr>
                <w:rFonts w:ascii="Calibri" w:hAnsi="Calibri"/>
                <w:b w:val="0"/>
                <w:sz w:val="19"/>
              </w:rPr>
              <w:t>NO</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sz w:val="19"/>
              </w:rPr>
              <w:t>Outsource</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Not under Ratal Iqama</w:t>
            </w:r>
          </w:p>
        </w:tc>
        <w:tc>
          <w:tcPr>
            <w:tcW w:type="dxa" w:w="2300"/>
            <w:shd w:val="clear" w:color="auto" w:fill="F5F7FA"/>
            <w:tcMar>
              <w:top w:w="60" w:type="dxa"/>
              <w:bottom w:w="60" w:type="dxa"/>
              <w:left w:w="80" w:type="dxa"/>
              <w:right w:w="80" w:type="dxa"/>
            </w:tcMar>
            <w:vAlign w:val="center"/>
          </w:tcPr>
          <w:p>
            <w:pPr>
              <w:jc w:val="left"/>
            </w:pPr>
            <w:r/>
            <w:r>
              <w:rPr>
                <w:rFonts w:ascii="Calibri" w:hAnsi="Calibri"/>
                <w:b w:val="0"/>
                <w:sz w:val="19"/>
              </w:rPr>
              <w:t>Full Cash only</w:t>
            </w:r>
          </w:p>
        </w:tc>
        <w:tc>
          <w:tcPr>
            <w:tcW w:type="dxa" w:w="1700"/>
            <w:shd w:val="clear" w:color="auto" w:fill="F5F7FA"/>
            <w:tcMar>
              <w:top w:w="60" w:type="dxa"/>
              <w:bottom w:w="60" w:type="dxa"/>
              <w:left w:w="80" w:type="dxa"/>
              <w:right w:w="80" w:type="dxa"/>
            </w:tcMar>
            <w:vAlign w:val="center"/>
          </w:tcPr>
          <w:p>
            <w:pPr>
              <w:jc w:val="left"/>
            </w:pPr>
            <w:r/>
            <w:r>
              <w:rPr>
                <w:rFonts w:ascii="Calibri" w:hAnsi="Calibri"/>
                <w:b w:val="0"/>
                <w:sz w:val="19"/>
              </w:rPr>
              <w:t>NO</w:t>
            </w:r>
          </w:p>
        </w:tc>
      </w:tr>
    </w:tbl>
    <w:p>
      <w:pPr>
        <w:spacing w:before="60" w:after="60"/>
      </w:pPr>
    </w:p>
    <w:p>
      <w:pPr>
        <w:pStyle w:val="Heading2"/>
        <w:spacing w:before="240" w:after="80"/>
      </w:pPr>
      <w:r>
        <w:rPr>
          <w:rFonts w:ascii="Calibri" w:hAnsi="Calibri"/>
          <w:b/>
          <w:color w:val="1A2E3D"/>
          <w:sz w:val="24"/>
        </w:rPr>
        <w:t>4.2  Key Employee Fields</w:t>
      </w:r>
    </w:p>
    <w:tbl>
      <w:tblPr>
        <w:tblStyle w:val="TableGrid"/>
        <w:tblW w:type="auto" w:w="0"/>
        <w:tblLook w:firstColumn="1" w:firstRow="1" w:lastColumn="0" w:lastRow="0" w:noHBand="0" w:noVBand="1" w:val="04A0"/>
      </w:tblPr>
      <w:tblGrid>
        <w:gridCol w:w="3000"/>
        <w:gridCol w:w="2000"/>
        <w:gridCol w:w="4300"/>
      </w:tblGrid>
      <w:tr>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Field</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Type / Enum</w:t>
            </w:r>
          </w:p>
        </w:tc>
        <w:tc>
          <w:tcPr>
            <w:tcW w:type="dxa" w:w="4300"/>
            <w:shd w:val="clear" w:color="auto" w:fill="1565C0"/>
            <w:tcMar>
              <w:top w:w="60" w:type="dxa"/>
              <w:bottom w:w="60" w:type="dxa"/>
              <w:left w:w="80" w:type="dxa"/>
              <w:right w:w="80" w:type="dxa"/>
            </w:tcMar>
            <w:vAlign w:val="center"/>
          </w:tcPr>
          <w:p>
            <w:r/>
            <w:r>
              <w:rPr>
                <w:rFonts w:ascii="Calibri" w:hAnsi="Calibri"/>
                <w:b/>
                <w:color w:val="FFFFFF"/>
                <w:sz w:val="19"/>
              </w:rPr>
              <w:t>Notes</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EmployeeID</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Text</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ACC-XXXX / RAT-XXXX / GWT-XXXX / OUT-XXXX (by entity + employee type)</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Designation</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Text</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GM | Dept Head | Director | PM | Supervisor | Engineer | Technician | Accountant | etc.</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Department</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Enum</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CISU/NISU/TISU/ITSU/OFFICE/TRAVELS/SAUDIS/ACCOUNTS</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Entity</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Enum</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RAT / GWT / ACCSYS</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Category</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Enum</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RATAL_SPONSORED / TRAVELS / SAUDIS / OUTSOURCE</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Status</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Enum</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ACTIVE / INACTIVE / LEFT</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Basic / HRA / Conveyance / Technical</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Decimal SAR</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Fixed salary components</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SalaryPackage</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Auto-calc</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 Basic + HRA + Conveyance + Technical</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BankPortion</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Decimal SAR</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Fixed amount to ANB-18. GOSI calculation base.</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CashPortion</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Auto-calc</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 SalaryPackage − BankPortion</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PaymentType</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Enum</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CASH_BANK / BANK_ONLY / CASH_ONLY</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OTAllowed / FoodAllowanceEligible / LoanAllowed / HasCar / HasDependent</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Boolean</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Eligibility flags</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MobileNumber</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Text</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Field staff login — NEVER changes</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TelegramChatID</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Text</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From @RatalGroupBot activation — used for all notifications</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NationalIDExpiry / PassportExpiry / QIWAValidity / SCEExpiry</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Date</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Compliance alert triggers (30 or 60 day windows)</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IBAN</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Text</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SA-format 24-char IBAN — used in WPS file</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TicketEligible / TicketCycleMonths / DefaultTicketAmount</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Boolean/INT/Decimal</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Air ticket benefit config (12 / 18 / 24 month cycles)</w:t>
            </w:r>
          </w:p>
        </w:tc>
      </w:tr>
    </w:tbl>
    <w:p>
      <w:pPr>
        <w:spacing w:before="60" w:after="60"/>
      </w:pPr>
    </w:p>
    <w:p>
      <w:pPr>
        <w:pStyle w:val="Heading2"/>
        <w:spacing w:before="240" w:after="80"/>
      </w:pPr>
      <w:r>
        <w:rPr>
          <w:rFonts w:ascii="Calibri" w:hAnsi="Calibri"/>
          <w:b/>
          <w:color w:val="1A2E3D"/>
          <w:sz w:val="24"/>
        </w:rPr>
        <w:t>4.3  Ticket Eligibility by Designation</w:t>
      </w:r>
    </w:p>
    <w:tbl>
      <w:tblPr>
        <w:tblStyle w:val="TableGrid"/>
        <w:tblW w:type="auto" w:w="0"/>
        <w:tblLook w:firstColumn="1" w:firstRow="1" w:lastColumn="0" w:lastRow="0" w:noHBand="0" w:noVBand="1" w:val="04A0"/>
      </w:tblPr>
      <w:tblGrid>
        <w:gridCol w:w="3000"/>
        <w:gridCol w:w="1600"/>
        <w:gridCol w:w="1600"/>
        <w:gridCol w:w="2000"/>
        <w:gridCol w:w="1100"/>
      </w:tblGrid>
      <w:tr>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Designation</w:t>
            </w:r>
          </w:p>
        </w:tc>
        <w:tc>
          <w:tcPr>
            <w:tcW w:type="dxa" w:w="1600"/>
            <w:shd w:val="clear" w:color="auto" w:fill="1565C0"/>
            <w:tcMar>
              <w:top w:w="60" w:type="dxa"/>
              <w:bottom w:w="60" w:type="dxa"/>
              <w:left w:w="80" w:type="dxa"/>
              <w:right w:w="80" w:type="dxa"/>
            </w:tcMar>
            <w:vAlign w:val="center"/>
          </w:tcPr>
          <w:p>
            <w:r/>
            <w:r>
              <w:rPr>
                <w:rFonts w:ascii="Calibri" w:hAnsi="Calibri"/>
                <w:b/>
                <w:color w:val="FFFFFF"/>
                <w:sz w:val="19"/>
              </w:rPr>
              <w:t>Cycle</w:t>
            </w:r>
          </w:p>
        </w:tc>
        <w:tc>
          <w:tcPr>
            <w:tcW w:type="dxa" w:w="1600"/>
            <w:shd w:val="clear" w:color="auto" w:fill="1565C0"/>
            <w:tcMar>
              <w:top w:w="60" w:type="dxa"/>
              <w:bottom w:w="60" w:type="dxa"/>
              <w:left w:w="80" w:type="dxa"/>
              <w:right w:w="80" w:type="dxa"/>
            </w:tcMar>
            <w:vAlign w:val="center"/>
          </w:tcPr>
          <w:p>
            <w:r/>
            <w:r>
              <w:rPr>
                <w:rFonts w:ascii="Calibri" w:hAnsi="Calibri"/>
                <w:b/>
                <w:color w:val="FFFFFF"/>
                <w:sz w:val="19"/>
              </w:rPr>
              <w:t>Employee Amt</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Family Coverage</w:t>
            </w:r>
          </w:p>
        </w:tc>
        <w:tc>
          <w:tcPr>
            <w:tcW w:type="dxa" w:w="1100"/>
            <w:shd w:val="clear" w:color="auto" w:fill="1565C0"/>
            <w:tcMar>
              <w:top w:w="60" w:type="dxa"/>
              <w:bottom w:w="60" w:type="dxa"/>
              <w:left w:w="80" w:type="dxa"/>
              <w:right w:w="80" w:type="dxa"/>
            </w:tcMar>
            <w:vAlign w:val="center"/>
          </w:tcPr>
          <w:p>
            <w:r/>
            <w:r>
              <w:rPr>
                <w:rFonts w:ascii="Calibri" w:hAnsi="Calibri"/>
                <w:b/>
                <w:color w:val="FFFFFF"/>
                <w:sz w:val="19"/>
              </w:rPr>
              <w:t>Destination</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Technician</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2 years</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SAR 1,600</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None</w:t>
            </w:r>
          </w:p>
        </w:tc>
        <w:tc>
          <w:tcPr>
            <w:tcW w:type="dxa" w:w="1100"/>
            <w:shd w:val="clear" w:color="auto" w:fill="FFFFFF"/>
            <w:tcMar>
              <w:top w:w="60" w:type="dxa"/>
              <w:bottom w:w="60" w:type="dxa"/>
              <w:left w:w="80" w:type="dxa"/>
              <w:right w:w="80" w:type="dxa"/>
            </w:tcMar>
            <w:vAlign w:val="center"/>
          </w:tcPr>
          <w:p>
            <w:pPr>
              <w:jc w:val="left"/>
            </w:pPr>
            <w:r/>
            <w:r>
              <w:rPr>
                <w:rFonts w:ascii="Calibri" w:hAnsi="Calibri"/>
                <w:b w:val="0"/>
                <w:sz w:val="19"/>
              </w:rPr>
              <w:t>N/A</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Senior Technician / Coordinator</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1 year</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SAR 1,600</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None</w:t>
            </w:r>
          </w:p>
        </w:tc>
        <w:tc>
          <w:tcPr>
            <w:tcW w:type="dxa" w:w="1100"/>
            <w:shd w:val="clear" w:color="auto" w:fill="F5F7FA"/>
            <w:tcMar>
              <w:top w:w="60" w:type="dxa"/>
              <w:bottom w:w="60" w:type="dxa"/>
              <w:left w:w="80" w:type="dxa"/>
              <w:right w:w="80" w:type="dxa"/>
            </w:tcMar>
            <w:vAlign w:val="center"/>
          </w:tcPr>
          <w:p>
            <w:pPr>
              <w:jc w:val="left"/>
            </w:pPr>
            <w:r/>
            <w:r>
              <w:rPr>
                <w:rFonts w:ascii="Calibri" w:hAnsi="Calibri"/>
                <w:b w:val="0"/>
                <w:sz w:val="19"/>
              </w:rPr>
              <w:t>N/A</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Project Manager / Engineer</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1 year</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SAR 2,000</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None</w:t>
            </w:r>
          </w:p>
        </w:tc>
        <w:tc>
          <w:tcPr>
            <w:tcW w:type="dxa" w:w="1100"/>
            <w:shd w:val="clear" w:color="auto" w:fill="FFFFFF"/>
            <w:tcMar>
              <w:top w:w="60" w:type="dxa"/>
              <w:bottom w:w="60" w:type="dxa"/>
              <w:left w:w="80" w:type="dxa"/>
              <w:right w:w="80" w:type="dxa"/>
            </w:tcMar>
            <w:vAlign w:val="center"/>
          </w:tcPr>
          <w:p>
            <w:pPr>
              <w:jc w:val="left"/>
            </w:pPr>
            <w:r/>
            <w:r>
              <w:rPr>
                <w:rFonts w:ascii="Calibri" w:hAnsi="Calibri"/>
                <w:b w:val="0"/>
                <w:sz w:val="19"/>
              </w:rPr>
              <w:t>N/A</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Department Head</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1 year</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SAR 2,200</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Wife + 3 Kids</w:t>
            </w:r>
          </w:p>
        </w:tc>
        <w:tc>
          <w:tcPr>
            <w:tcW w:type="dxa" w:w="1100"/>
            <w:shd w:val="clear" w:color="auto" w:fill="F5F7FA"/>
            <w:tcMar>
              <w:top w:w="60" w:type="dxa"/>
              <w:bottom w:w="60" w:type="dxa"/>
              <w:left w:w="80" w:type="dxa"/>
              <w:right w:w="80" w:type="dxa"/>
            </w:tcMar>
            <w:vAlign w:val="center"/>
          </w:tcPr>
          <w:p>
            <w:pPr>
              <w:jc w:val="left"/>
            </w:pPr>
            <w:r/>
            <w:r>
              <w:rPr>
                <w:rFonts w:ascii="Calibri" w:hAnsi="Calibri"/>
                <w:b w:val="0"/>
                <w:sz w:val="19"/>
              </w:rPr>
              <w:t>Home country</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General Manager</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6 months</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SAR 2,500</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Wife + 4 Kids</w:t>
            </w:r>
          </w:p>
        </w:tc>
        <w:tc>
          <w:tcPr>
            <w:tcW w:type="dxa" w:w="1100"/>
            <w:shd w:val="clear" w:color="auto" w:fill="FFFFFF"/>
            <w:tcMar>
              <w:top w:w="60" w:type="dxa"/>
              <w:bottom w:w="60" w:type="dxa"/>
              <w:left w:w="80" w:type="dxa"/>
              <w:right w:w="80" w:type="dxa"/>
            </w:tcMar>
            <w:vAlign w:val="center"/>
          </w:tcPr>
          <w:p>
            <w:pPr>
              <w:jc w:val="left"/>
            </w:pPr>
            <w:r/>
            <w:r>
              <w:rPr>
                <w:rFonts w:ascii="Calibri" w:hAnsi="Calibri"/>
                <w:b w:val="0"/>
                <w:sz w:val="19"/>
              </w:rPr>
              <w:t>Any destination</w:t>
            </w:r>
          </w:p>
        </w:tc>
      </w:tr>
    </w:tbl>
    <w:p>
      <w:pPr>
        <w:spacing w:before="60" w:after="60"/>
      </w:pPr>
    </w:p>
    <w:p>
      <w:pPr>
        <w:spacing w:before="60" w:after="60"/>
      </w:pPr>
    </w:p>
    <w:p>
      <w:pPr>
        <w:pStyle w:val="Heading1"/>
        <w:spacing w:before="320" w:after="120"/>
        <w:pBdr>
          <w:bottom w:val="single" w:sz="6" w:space="4" w:color="1565C0"/>
        </w:pBdr>
      </w:pPr>
      <w:r>
        <w:rPr>
          <w:rFonts w:ascii="Calibri" w:hAnsi="Calibri"/>
          <w:b/>
          <w:color w:val="1565C0"/>
          <w:sz w:val="28"/>
        </w:rPr>
        <w:t>Section 5 — Payroll</w:t>
      </w:r>
    </w:p>
    <w:p>
      <w:pPr>
        <w:pStyle w:val="Heading2"/>
        <w:spacing w:before="240" w:after="80"/>
      </w:pPr>
      <w:r>
        <w:rPr>
          <w:rFonts w:ascii="Calibri" w:hAnsi="Calibri"/>
          <w:b/>
          <w:color w:val="1A2E3D"/>
          <w:sz w:val="24"/>
        </w:rPr>
        <w:t>5.1  Monthly Salary Structure</w:t>
      </w:r>
    </w:p>
    <w:tbl>
      <w:tblPr>
        <w:tblStyle w:val="TableGrid"/>
        <w:tblW w:type="auto" w:w="0"/>
        <w:tblLook w:firstColumn="1" w:firstRow="1" w:lastColumn="0" w:lastRow="0" w:noHBand="0" w:noVBand="1" w:val="04A0"/>
      </w:tblPr>
      <w:tblGrid>
        <w:gridCol w:w="3500"/>
        <w:gridCol w:w="2800"/>
        <w:gridCol w:w="3000"/>
      </w:tblGrid>
      <w:tr>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Component</w:t>
            </w:r>
          </w:p>
        </w:tc>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Calculation</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Notes</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Basic + HRA + Conveyance + Technical</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Fixed per employee</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Earnings</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Overtime</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Basic ÷ 30 ÷ 8 × 1.5</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Auto-pulled from approved OT submissions. Max 60 hrs/month.</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Bonus / Other</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Ad-hoc entry</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Earnings</w:t>
            </w:r>
          </w:p>
        </w:tc>
      </w:tr>
      <w:tr>
        <w:tc>
          <w:tcPr>
            <w:tcW w:type="dxa" w:w="3500"/>
            <w:shd w:val="clear" w:color="auto" w:fill="E3F2FD"/>
            <w:tcMar>
              <w:top w:w="60" w:type="dxa"/>
              <w:bottom w:w="60" w:type="dxa"/>
              <w:left w:w="80" w:type="dxa"/>
              <w:right w:w="80" w:type="dxa"/>
            </w:tcMar>
            <w:vAlign w:val="center"/>
          </w:tcPr>
          <w:p>
            <w:pPr>
              <w:jc w:val="left"/>
            </w:pPr>
            <w:r/>
            <w:r>
              <w:rPr>
                <w:rFonts w:ascii="Calibri" w:hAnsi="Calibri"/>
                <w:b/>
                <w:color w:val="1565C0"/>
                <w:sz w:val="19"/>
              </w:rPr>
              <w:t>GROSS SALARY</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Sum of all earnings</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Loan EMI</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Cash Portion only</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Deduction</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Penalty</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Cash Portion only | 10% cap</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Deduction — carry-forward if over cap</w:t>
            </w:r>
          </w:p>
        </w:tc>
      </w:tr>
      <w:tr>
        <w:tc>
          <w:tcPr>
            <w:tcW w:type="dxa" w:w="3500"/>
            <w:shd w:val="clear" w:color="auto" w:fill="E8F5E9"/>
            <w:tcMar>
              <w:top w:w="60" w:type="dxa"/>
              <w:bottom w:w="60" w:type="dxa"/>
              <w:left w:w="80" w:type="dxa"/>
              <w:right w:w="80" w:type="dxa"/>
            </w:tcMar>
            <w:vAlign w:val="center"/>
          </w:tcPr>
          <w:p>
            <w:pPr>
              <w:jc w:val="left"/>
            </w:pPr>
            <w:r/>
            <w:r>
              <w:rPr>
                <w:rFonts w:ascii="Calibri" w:hAnsi="Calibri"/>
                <w:b/>
                <w:color w:val="2E7D32"/>
                <w:sz w:val="19"/>
              </w:rPr>
              <w:t>NET SALARY</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Gross − deductions</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Bank Portion</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Fixed SAR → ANB-18</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WPS transfer | GOSI base</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Cash Portion</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Net − Bank Portion</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Cash payment</w:t>
            </w:r>
          </w:p>
        </w:tc>
      </w:tr>
    </w:tbl>
    <w:p>
      <w:pPr>
        <w:spacing w:before="60" w:after="60"/>
      </w:pPr>
    </w:p>
    <w:p>
      <w:pPr>
        <w:pBdr>
          <w:left w:val="thick" w:sz="12" w:space="8" w:color="E65100"/>
        </w:pBdr>
        <w:ind w:left="360"/>
        <w:spacing w:before="60" w:after="60"/>
      </w:pPr>
      <w:r>
        <w:rPr>
          <w:rFonts w:ascii="Calibri" w:hAnsi="Calibri"/>
          <w:i/>
          <w:color w:val="E65100"/>
          <w:sz w:val="19"/>
        </w:rPr>
        <w:t>Note: Food Allowance is NOT in payroll — paid as a separate advance through FA form.</w:t>
      </w:r>
    </w:p>
    <w:p>
      <w:pPr>
        <w:pStyle w:val="Heading2"/>
        <w:spacing w:before="240" w:after="80"/>
      </w:pPr>
      <w:r>
        <w:rPr>
          <w:rFonts w:ascii="Calibri" w:hAnsi="Calibri"/>
          <w:b/>
          <w:color w:val="1A2E3D"/>
          <w:sz w:val="24"/>
        </w:rPr>
        <w:t>5.2  GOSI Rules</w:t>
      </w:r>
    </w:p>
    <w:tbl>
      <w:tblPr>
        <w:tblStyle w:val="TableGrid"/>
        <w:tblW w:type="auto" w:w="0"/>
        <w:tblLook w:firstColumn="1" w:firstRow="1" w:lastColumn="0" w:lastRow="0" w:noHBand="0" w:noVBand="1" w:val="04A0"/>
      </w:tblPr>
      <w:tblGrid>
        <w:gridCol w:w="2500"/>
        <w:gridCol w:w="2000"/>
        <w:gridCol w:w="1800"/>
        <w:gridCol w:w="30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Employee Type</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Base</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Rate</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Who Pays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sz w:val="19"/>
              </w:rPr>
              <w:t>Saudi Nationals</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Bank Portion</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9%</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Company pays ALL — zero employee deduction</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sz w:val="19"/>
              </w:rPr>
              <w:t>Expat Employees</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Bank Portion</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3% (hazard)</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Company-borne entirely</w:t>
            </w:r>
          </w:p>
        </w:tc>
      </w:tr>
    </w:tbl>
    <w:p>
      <w:pPr>
        <w:spacing w:before="60" w:after="60"/>
      </w:pPr>
    </w:p>
    <w:p>
      <w:pPr>
        <w:pStyle w:val="Heading2"/>
        <w:spacing w:before="240" w:after="80"/>
      </w:pPr>
      <w:r>
        <w:rPr>
          <w:rFonts w:ascii="Calibri" w:hAnsi="Calibri"/>
          <w:b/>
          <w:color w:val="1A2E3D"/>
          <w:sz w:val="24"/>
        </w:rPr>
        <w:t>5.3  Loan Rules</w:t>
      </w:r>
    </w:p>
    <w:p>
      <w:pPr>
        <w:spacing w:before="40" w:after="60"/>
      </w:pPr>
      <w:r>
        <w:rPr>
          <w:rFonts w:ascii="Calibri" w:hAnsi="Calibri"/>
          <w:i w:val="0"/>
          <w:sz w:val="20"/>
        </w:rPr>
        <w:t>Eligibility: Ratal Sponsored + TRAVELS only. Max: 3 × SalaryPackage. Tenure: max 24 months. EMI from Cash Portion only. One active loan per employee. Starts next month after approval.</w:t>
      </w:r>
    </w:p>
    <w:p>
      <w:pPr>
        <w:pStyle w:val="Heading2"/>
        <w:spacing w:before="240" w:after="80"/>
      </w:pPr>
      <w:r>
        <w:rPr>
          <w:rFonts w:ascii="Calibri" w:hAnsi="Calibri"/>
          <w:b/>
          <w:color w:val="1A2E3D"/>
          <w:sz w:val="24"/>
        </w:rPr>
        <w:t>5.4  Penalties</w:t>
      </w:r>
    </w:p>
    <w:tbl>
      <w:tblPr>
        <w:tblStyle w:val="TableGrid"/>
        <w:tblW w:type="auto" w:w="0"/>
        <w:tblLook w:firstColumn="1" w:firstRow="1" w:lastColumn="0" w:lastRow="0" w:noHBand="0" w:noVBand="1" w:val="04A0"/>
      </w:tblPr>
      <w:tblGrid>
        <w:gridCol w:w="2500"/>
        <w:gridCol w:w="3600"/>
        <w:gridCol w:w="32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Type</w:t>
            </w:r>
          </w:p>
        </w:tc>
        <w:tc>
          <w:tcPr>
            <w:tcW w:type="dxa" w:w="3600"/>
            <w:shd w:val="clear" w:color="auto" w:fill="1565C0"/>
            <w:tcMar>
              <w:top w:w="60" w:type="dxa"/>
              <w:bottom w:w="60" w:type="dxa"/>
              <w:left w:w="80" w:type="dxa"/>
              <w:right w:w="80" w:type="dxa"/>
            </w:tcMar>
            <w:vAlign w:val="center"/>
          </w:tcPr>
          <w:p>
            <w:r/>
            <w:r>
              <w:rPr>
                <w:rFonts w:ascii="Calibri" w:hAnsi="Calibri"/>
                <w:b/>
                <w:color w:val="FFFFFF"/>
                <w:sz w:val="19"/>
              </w:rPr>
              <w:t>Classification</w:t>
            </w:r>
          </w:p>
        </w:tc>
        <w:tc>
          <w:tcPr>
            <w:tcW w:type="dxa" w:w="3200"/>
            <w:shd w:val="clear" w:color="auto" w:fill="1565C0"/>
            <w:tcMar>
              <w:top w:w="60" w:type="dxa"/>
              <w:bottom w:w="60" w:type="dxa"/>
              <w:left w:w="80" w:type="dxa"/>
              <w:right w:w="80" w:type="dxa"/>
            </w:tcMar>
            <w:vAlign w:val="center"/>
          </w:tcPr>
          <w:p>
            <w:r/>
            <w:r>
              <w:rPr>
                <w:rFonts w:ascii="Calibri" w:hAnsi="Calibri"/>
                <w:b/>
                <w:color w:val="FFFFFF"/>
                <w:sz w:val="19"/>
              </w:rPr>
              <w:t>Rule</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Employee-borne</w:t>
            </w:r>
          </w:p>
        </w:tc>
        <w:tc>
          <w:tcPr>
            <w:tcW w:type="dxa" w:w="3600"/>
            <w:shd w:val="clear" w:color="auto" w:fill="FFFFFF"/>
            <w:tcMar>
              <w:top w:w="60" w:type="dxa"/>
              <w:bottom w:w="60" w:type="dxa"/>
              <w:left w:w="80" w:type="dxa"/>
              <w:right w:w="80" w:type="dxa"/>
            </w:tcMar>
            <w:vAlign w:val="center"/>
          </w:tcPr>
          <w:p>
            <w:pPr>
              <w:jc w:val="left"/>
            </w:pPr>
            <w:r/>
            <w:r>
              <w:rPr>
                <w:rFonts w:ascii="Calibri" w:hAnsi="Calibri"/>
                <w:b w:val="0"/>
                <w:sz w:val="19"/>
              </w:rPr>
              <w:t>Over-speeding, wrong parking, signal jump, phone while driving</w:t>
            </w:r>
          </w:p>
        </w:tc>
        <w:tc>
          <w:tcPr>
            <w:tcW w:type="dxa" w:w="3200"/>
            <w:shd w:val="clear" w:color="auto" w:fill="FFFFFF"/>
            <w:tcMar>
              <w:top w:w="60" w:type="dxa"/>
              <w:bottom w:w="60" w:type="dxa"/>
              <w:left w:w="80" w:type="dxa"/>
              <w:right w:w="80" w:type="dxa"/>
            </w:tcMar>
            <w:vAlign w:val="center"/>
          </w:tcPr>
          <w:p>
            <w:pPr>
              <w:jc w:val="left"/>
            </w:pPr>
            <w:r/>
            <w:r>
              <w:rPr>
                <w:rFonts w:ascii="Calibri" w:hAnsi="Calibri"/>
                <w:b w:val="0"/>
                <w:sz w:val="19"/>
              </w:rPr>
              <w:t>Cash Portion only | 10% cap/month | Carry-forward</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Company-borne</w:t>
            </w:r>
          </w:p>
        </w:tc>
        <w:tc>
          <w:tcPr>
            <w:tcW w:type="dxa" w:w="3600"/>
            <w:shd w:val="clear" w:color="auto" w:fill="F5F7FA"/>
            <w:tcMar>
              <w:top w:w="60" w:type="dxa"/>
              <w:bottom w:w="60" w:type="dxa"/>
              <w:left w:w="80" w:type="dxa"/>
              <w:right w:w="80" w:type="dxa"/>
            </w:tcMar>
            <w:vAlign w:val="center"/>
          </w:tcPr>
          <w:p>
            <w:pPr>
              <w:jc w:val="left"/>
            </w:pPr>
            <w:r/>
            <w:r>
              <w:rPr>
                <w:rFonts w:ascii="Calibri" w:hAnsi="Calibri"/>
                <w:b w:val="0"/>
                <w:sz w:val="19"/>
              </w:rPr>
              <w:t>Plate damage, no insurance, expired registration, no MVPI</w:t>
            </w:r>
          </w:p>
        </w:tc>
        <w:tc>
          <w:tcPr>
            <w:tcW w:type="dxa" w:w="3200"/>
            <w:shd w:val="clear" w:color="auto" w:fill="F5F7FA"/>
            <w:tcMar>
              <w:top w:w="60" w:type="dxa"/>
              <w:bottom w:w="60" w:type="dxa"/>
              <w:left w:w="80" w:type="dxa"/>
              <w:right w:w="80" w:type="dxa"/>
            </w:tcMar>
            <w:vAlign w:val="center"/>
          </w:tcPr>
          <w:p>
            <w:pPr>
              <w:jc w:val="left"/>
            </w:pPr>
            <w:r/>
            <w:r>
              <w:rPr>
                <w:rFonts w:ascii="Calibri" w:hAnsi="Calibri"/>
                <w:b w:val="0"/>
                <w:sz w:val="19"/>
              </w:rPr>
              <w:t>Company expense — not deducted from employee salary</w:t>
            </w:r>
          </w:p>
        </w:tc>
      </w:tr>
    </w:tbl>
    <w:p>
      <w:pPr>
        <w:spacing w:before="60" w:after="60"/>
      </w:pPr>
    </w:p>
    <w:p>
      <w:pPr>
        <w:pStyle w:val="Heading2"/>
        <w:spacing w:before="240" w:after="80"/>
      </w:pPr>
      <w:r>
        <w:rPr>
          <w:rFonts w:ascii="Calibri" w:hAnsi="Calibri"/>
          <w:b/>
          <w:color w:val="1A2E3D"/>
          <w:sz w:val="24"/>
        </w:rPr>
        <w:t>5.5  WPS File</w:t>
      </w:r>
    </w:p>
    <w:p>
      <w:pPr>
        <w:spacing w:before="40" w:after="60"/>
      </w:pPr>
      <w:r>
        <w:rPr>
          <w:rFonts w:ascii="Calibri" w:hAnsi="Calibri"/>
          <w:i w:val="0"/>
          <w:sz w:val="20"/>
        </w:rPr>
        <w:t>Format: ANB pipe-delimited text. H (header) + D (detail per employee). Source: ANB-18. Covers Bank Portion only. Excludes Outsource. BatchRef = DDMMYYYY.001. Full spec in Appendix A.</w:t>
      </w:r>
    </w:p>
    <w:p>
      <w:pPr>
        <w:spacing w:before="60" w:after="60"/>
      </w:pPr>
    </w:p>
    <w:p>
      <w:pPr>
        <w:pStyle w:val="Heading1"/>
        <w:spacing w:before="320" w:after="120"/>
        <w:pBdr>
          <w:bottom w:val="single" w:sz="6" w:space="4" w:color="1565C0"/>
        </w:pBdr>
      </w:pPr>
      <w:r>
        <w:rPr>
          <w:rFonts w:ascii="Calibri" w:hAnsi="Calibri"/>
          <w:b/>
          <w:color w:val="1565C0"/>
          <w:sz w:val="28"/>
        </w:rPr>
        <w:t>Section 6 — End of Service (Labour Law Art. 84)</w:t>
      </w:r>
    </w:p>
    <w:tbl>
      <w:tblPr>
        <w:tblStyle w:val="TableGrid"/>
        <w:tblW w:type="auto" w:w="0"/>
        <w:tblLook w:firstColumn="1" w:firstRow="1" w:lastColumn="0" w:lastRow="0" w:noHBand="0" w:noVBand="1" w:val="04A0"/>
      </w:tblPr>
      <w:tblGrid>
        <w:gridCol w:w="3500"/>
        <w:gridCol w:w="2200"/>
        <w:gridCol w:w="3600"/>
      </w:tblGrid>
      <w:tr>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Scenario</w:t>
            </w:r>
          </w:p>
        </w:tc>
        <w:tc>
          <w:tcPr>
            <w:tcW w:type="dxa" w:w="2200"/>
            <w:shd w:val="clear" w:color="auto" w:fill="1565C0"/>
            <w:tcMar>
              <w:top w:w="60" w:type="dxa"/>
              <w:bottom w:w="60" w:type="dxa"/>
              <w:left w:w="80" w:type="dxa"/>
              <w:right w:w="80" w:type="dxa"/>
            </w:tcMar>
            <w:vAlign w:val="center"/>
          </w:tcPr>
          <w:p>
            <w:r/>
            <w:r>
              <w:rPr>
                <w:rFonts w:ascii="Calibri" w:hAnsi="Calibri"/>
                <w:b/>
                <w:color w:val="FFFFFF"/>
                <w:sz w:val="19"/>
              </w:rPr>
              <w:t>EOS Base</w:t>
            </w:r>
          </w:p>
        </w:tc>
        <w:tc>
          <w:tcPr>
            <w:tcW w:type="dxa" w:w="3600"/>
            <w:shd w:val="clear" w:color="auto" w:fill="1565C0"/>
            <w:tcMar>
              <w:top w:w="60" w:type="dxa"/>
              <w:bottom w:w="60" w:type="dxa"/>
              <w:left w:w="80" w:type="dxa"/>
              <w:right w:w="80" w:type="dxa"/>
            </w:tcMar>
            <w:vAlign w:val="center"/>
          </w:tcPr>
          <w:p>
            <w:r/>
            <w:r>
              <w:rPr>
                <w:rFonts w:ascii="Calibri" w:hAnsi="Calibri"/>
                <w:b/>
                <w:color w:val="FFFFFF"/>
                <w:sz w:val="19"/>
              </w:rPr>
              <w:t>Entitlement</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Resigned &lt; 2 years</w:t>
            </w:r>
          </w:p>
        </w:tc>
        <w:tc>
          <w:tcPr>
            <w:tcW w:type="dxa" w:w="2200"/>
            <w:shd w:val="clear" w:color="auto" w:fill="FFFFFF"/>
            <w:tcMar>
              <w:top w:w="60" w:type="dxa"/>
              <w:bottom w:w="60" w:type="dxa"/>
              <w:left w:w="80" w:type="dxa"/>
              <w:right w:w="80" w:type="dxa"/>
            </w:tcMar>
            <w:vAlign w:val="center"/>
          </w:tcPr>
          <w:p>
            <w:pPr>
              <w:jc w:val="left"/>
            </w:pPr>
            <w:r/>
            <w:r>
              <w:rPr>
                <w:rFonts w:ascii="Calibri" w:hAnsi="Calibri"/>
                <w:b w:val="0"/>
                <w:sz w:val="19"/>
              </w:rPr>
              <w:t>Basic</w:t>
            </w:r>
          </w:p>
        </w:tc>
        <w:tc>
          <w:tcPr>
            <w:tcW w:type="dxa" w:w="3600"/>
            <w:shd w:val="clear" w:color="auto" w:fill="FFFFFF"/>
            <w:tcMar>
              <w:top w:w="60" w:type="dxa"/>
              <w:bottom w:w="60" w:type="dxa"/>
              <w:left w:w="80" w:type="dxa"/>
              <w:right w:w="80" w:type="dxa"/>
            </w:tcMar>
            <w:vAlign w:val="center"/>
          </w:tcPr>
          <w:p>
            <w:pPr>
              <w:jc w:val="left"/>
            </w:pPr>
            <w:r/>
            <w:r>
              <w:rPr>
                <w:rFonts w:ascii="Calibri" w:hAnsi="Calibri"/>
                <w:b w:val="0"/>
                <w:sz w:val="19"/>
              </w:rPr>
              <w:t>ZERO</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Resigned 2–5 years</w:t>
            </w:r>
          </w:p>
        </w:tc>
        <w:tc>
          <w:tcPr>
            <w:tcW w:type="dxa" w:w="2200"/>
            <w:shd w:val="clear" w:color="auto" w:fill="F5F7FA"/>
            <w:tcMar>
              <w:top w:w="60" w:type="dxa"/>
              <w:bottom w:w="60" w:type="dxa"/>
              <w:left w:w="80" w:type="dxa"/>
              <w:right w:w="80" w:type="dxa"/>
            </w:tcMar>
            <w:vAlign w:val="center"/>
          </w:tcPr>
          <w:p>
            <w:pPr>
              <w:jc w:val="left"/>
            </w:pPr>
            <w:r/>
            <w:r>
              <w:rPr>
                <w:rFonts w:ascii="Calibri" w:hAnsi="Calibri"/>
                <w:b w:val="0"/>
                <w:sz w:val="19"/>
              </w:rPr>
              <w:t>Basic</w:t>
            </w:r>
          </w:p>
        </w:tc>
        <w:tc>
          <w:tcPr>
            <w:tcW w:type="dxa" w:w="3600"/>
            <w:shd w:val="clear" w:color="auto" w:fill="F5F7FA"/>
            <w:tcMar>
              <w:top w:w="60" w:type="dxa"/>
              <w:bottom w:w="60" w:type="dxa"/>
              <w:left w:w="80" w:type="dxa"/>
              <w:right w:w="80" w:type="dxa"/>
            </w:tcMar>
            <w:vAlign w:val="center"/>
          </w:tcPr>
          <w:p>
            <w:pPr>
              <w:jc w:val="left"/>
            </w:pPr>
            <w:r/>
            <w:r>
              <w:rPr>
                <w:rFonts w:ascii="Calibri" w:hAnsi="Calibri"/>
                <w:b w:val="0"/>
                <w:sz w:val="19"/>
              </w:rPr>
              <w:t>1/3 of full EOS</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Resigned 5–10 years</w:t>
            </w:r>
          </w:p>
        </w:tc>
        <w:tc>
          <w:tcPr>
            <w:tcW w:type="dxa" w:w="2200"/>
            <w:shd w:val="clear" w:color="auto" w:fill="FFFFFF"/>
            <w:tcMar>
              <w:top w:w="60" w:type="dxa"/>
              <w:bottom w:w="60" w:type="dxa"/>
              <w:left w:w="80" w:type="dxa"/>
              <w:right w:w="80" w:type="dxa"/>
            </w:tcMar>
            <w:vAlign w:val="center"/>
          </w:tcPr>
          <w:p>
            <w:pPr>
              <w:jc w:val="left"/>
            </w:pPr>
            <w:r/>
            <w:r>
              <w:rPr>
                <w:rFonts w:ascii="Calibri" w:hAnsi="Calibri"/>
                <w:b w:val="0"/>
                <w:sz w:val="19"/>
              </w:rPr>
              <w:t>Basic</w:t>
            </w:r>
          </w:p>
        </w:tc>
        <w:tc>
          <w:tcPr>
            <w:tcW w:type="dxa" w:w="3600"/>
            <w:shd w:val="clear" w:color="auto" w:fill="FFFFFF"/>
            <w:tcMar>
              <w:top w:w="60" w:type="dxa"/>
              <w:bottom w:w="60" w:type="dxa"/>
              <w:left w:w="80" w:type="dxa"/>
              <w:right w:w="80" w:type="dxa"/>
            </w:tcMar>
            <w:vAlign w:val="center"/>
          </w:tcPr>
          <w:p>
            <w:pPr>
              <w:jc w:val="left"/>
            </w:pPr>
            <w:r/>
            <w:r>
              <w:rPr>
                <w:rFonts w:ascii="Calibri" w:hAnsi="Calibri"/>
                <w:b w:val="0"/>
                <w:sz w:val="19"/>
              </w:rPr>
              <w:t>2/3 of full EOS</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Resigned 10+ years</w:t>
            </w:r>
          </w:p>
        </w:tc>
        <w:tc>
          <w:tcPr>
            <w:tcW w:type="dxa" w:w="2200"/>
            <w:shd w:val="clear" w:color="auto" w:fill="F5F7FA"/>
            <w:tcMar>
              <w:top w:w="60" w:type="dxa"/>
              <w:bottom w:w="60" w:type="dxa"/>
              <w:left w:w="80" w:type="dxa"/>
              <w:right w:w="80" w:type="dxa"/>
            </w:tcMar>
            <w:vAlign w:val="center"/>
          </w:tcPr>
          <w:p>
            <w:pPr>
              <w:jc w:val="left"/>
            </w:pPr>
            <w:r/>
            <w:r>
              <w:rPr>
                <w:rFonts w:ascii="Calibri" w:hAnsi="Calibri"/>
                <w:b w:val="0"/>
                <w:sz w:val="19"/>
              </w:rPr>
              <w:t>Basic</w:t>
            </w:r>
          </w:p>
        </w:tc>
        <w:tc>
          <w:tcPr>
            <w:tcW w:type="dxa" w:w="3600"/>
            <w:shd w:val="clear" w:color="auto" w:fill="F5F7FA"/>
            <w:tcMar>
              <w:top w:w="60" w:type="dxa"/>
              <w:bottom w:w="60" w:type="dxa"/>
              <w:left w:w="80" w:type="dxa"/>
              <w:right w:w="80" w:type="dxa"/>
            </w:tcMar>
            <w:vAlign w:val="center"/>
          </w:tcPr>
          <w:p>
            <w:pPr>
              <w:jc w:val="left"/>
            </w:pPr>
            <w:r/>
            <w:r>
              <w:rPr>
                <w:rFonts w:ascii="Calibri" w:hAnsi="Calibri"/>
                <w:b w:val="0"/>
                <w:sz w:val="19"/>
              </w:rPr>
              <w:t>Full EOS</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sz w:val="19"/>
              </w:rPr>
              <w:t>Terminated / Expired / Death</w:t>
            </w:r>
          </w:p>
        </w:tc>
        <w:tc>
          <w:tcPr>
            <w:tcW w:type="dxa" w:w="2200"/>
            <w:shd w:val="clear" w:color="auto" w:fill="FFFFFF"/>
            <w:tcMar>
              <w:top w:w="60" w:type="dxa"/>
              <w:bottom w:w="60" w:type="dxa"/>
              <w:left w:w="80" w:type="dxa"/>
              <w:right w:w="80" w:type="dxa"/>
            </w:tcMar>
            <w:vAlign w:val="center"/>
          </w:tcPr>
          <w:p>
            <w:pPr>
              <w:jc w:val="left"/>
            </w:pPr>
            <w:r/>
            <w:r>
              <w:rPr>
                <w:rFonts w:ascii="Calibri" w:hAnsi="Calibri"/>
                <w:b w:val="0"/>
                <w:sz w:val="19"/>
              </w:rPr>
              <w:t>Basic</w:t>
            </w:r>
          </w:p>
        </w:tc>
        <w:tc>
          <w:tcPr>
            <w:tcW w:type="dxa" w:w="3600"/>
            <w:shd w:val="clear" w:color="auto" w:fill="FFFFFF"/>
            <w:tcMar>
              <w:top w:w="60" w:type="dxa"/>
              <w:bottom w:w="60" w:type="dxa"/>
              <w:left w:w="80" w:type="dxa"/>
              <w:right w:w="80" w:type="dxa"/>
            </w:tcMar>
            <w:vAlign w:val="center"/>
          </w:tcPr>
          <w:p>
            <w:pPr>
              <w:jc w:val="left"/>
            </w:pPr>
            <w:r/>
            <w:r>
              <w:rPr>
                <w:rFonts w:ascii="Calibri" w:hAnsi="Calibri"/>
                <w:b w:val="0"/>
                <w:sz w:val="19"/>
              </w:rPr>
              <w:t>Full EOS</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sz w:val="19"/>
              </w:rPr>
              <w:t>15+ years of service (any reason)</w:t>
            </w:r>
          </w:p>
        </w:tc>
        <w:tc>
          <w:tcPr>
            <w:tcW w:type="dxa" w:w="2200"/>
            <w:shd w:val="clear" w:color="auto" w:fill="F5F7FA"/>
            <w:tcMar>
              <w:top w:w="60" w:type="dxa"/>
              <w:bottom w:w="60" w:type="dxa"/>
              <w:left w:w="80" w:type="dxa"/>
              <w:right w:w="80" w:type="dxa"/>
            </w:tcMar>
            <w:vAlign w:val="center"/>
          </w:tcPr>
          <w:p>
            <w:pPr>
              <w:jc w:val="left"/>
            </w:pPr>
            <w:r/>
            <w:r>
              <w:rPr>
                <w:rFonts w:ascii="Calibri" w:hAnsi="Calibri"/>
                <w:b w:val="0"/>
                <w:sz w:val="19"/>
              </w:rPr>
              <w:t>Full Salary Package</w:t>
            </w:r>
          </w:p>
        </w:tc>
        <w:tc>
          <w:tcPr>
            <w:tcW w:type="dxa" w:w="3600"/>
            <w:shd w:val="clear" w:color="auto" w:fill="F5F7FA"/>
            <w:tcMar>
              <w:top w:w="60" w:type="dxa"/>
              <w:bottom w:w="60" w:type="dxa"/>
              <w:left w:w="80" w:type="dxa"/>
              <w:right w:w="80" w:type="dxa"/>
            </w:tcMar>
            <w:vAlign w:val="center"/>
          </w:tcPr>
          <w:p>
            <w:pPr>
              <w:jc w:val="left"/>
            </w:pPr>
            <w:r/>
            <w:r>
              <w:rPr>
                <w:rFonts w:ascii="Calibri" w:hAnsi="Calibri"/>
                <w:b w:val="0"/>
                <w:sz w:val="19"/>
              </w:rPr>
              <w:t>Full EOS (base auto-switches)</w:t>
            </w:r>
          </w:p>
        </w:tc>
      </w:tr>
    </w:tbl>
    <w:p>
      <w:pPr>
        <w:spacing w:before="60" w:after="60"/>
      </w:pPr>
    </w:p>
    <w:p>
      <w:pPr>
        <w:spacing w:before="40" w:after="60"/>
      </w:pPr>
      <w:r>
        <w:rPr>
          <w:rFonts w:ascii="Calibri" w:hAnsi="Calibri"/>
          <w:i w:val="0"/>
          <w:sz w:val="20"/>
        </w:rPr>
        <w:t>Formula: First 5 years: Basic × 0.5/year (15 days). Beyond 5 years: Basic × 1.0/year (30 days). Deductions: outstanding loan balance + ticket advance + penalties.</w:t>
      </w:r>
    </w:p>
    <w:p>
      <w:pPr>
        <w:pStyle w:val="Heading1"/>
        <w:spacing w:before="320" w:after="120"/>
        <w:pBdr>
          <w:bottom w:val="single" w:sz="6" w:space="4" w:color="1565C0"/>
        </w:pBdr>
      </w:pPr>
      <w:r>
        <w:rPr>
          <w:rFonts w:ascii="Calibri" w:hAnsi="Calibri"/>
          <w:b/>
          <w:color w:val="1565C0"/>
          <w:sz w:val="28"/>
        </w:rPr>
        <w:t>Section 7 — Vacations &amp; Ticket Benefit</w:t>
      </w:r>
    </w:p>
    <w:tbl>
      <w:tblPr>
        <w:tblStyle w:val="TableGrid"/>
        <w:tblW w:type="auto" w:w="0"/>
        <w:tblLook w:firstColumn="1" w:firstRow="1" w:lastColumn="0" w:lastRow="0" w:noHBand="0" w:noVBand="1" w:val="04A0"/>
      </w:tblPr>
      <w:tblGrid>
        <w:gridCol w:w="3200"/>
        <w:gridCol w:w="1800"/>
        <w:gridCol w:w="1800"/>
        <w:gridCol w:w="2500"/>
      </w:tblGrid>
      <w:tr>
        <w:tc>
          <w:tcPr>
            <w:tcW w:type="dxa" w:w="3200"/>
            <w:shd w:val="clear" w:color="auto" w:fill="1565C0"/>
            <w:tcMar>
              <w:top w:w="60" w:type="dxa"/>
              <w:bottom w:w="60" w:type="dxa"/>
              <w:left w:w="80" w:type="dxa"/>
              <w:right w:w="80" w:type="dxa"/>
            </w:tcMar>
            <w:vAlign w:val="center"/>
          </w:tcPr>
          <w:p>
            <w:r/>
            <w:r>
              <w:rPr>
                <w:rFonts w:ascii="Calibri" w:hAnsi="Calibri"/>
                <w:b/>
                <w:color w:val="FFFFFF"/>
                <w:sz w:val="19"/>
              </w:rPr>
              <w:t>Type</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Max Days</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In Annual 30?</w:t>
            </w:r>
          </w:p>
        </w:tc>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Deduction</w:t>
            </w:r>
          </w:p>
        </w:tc>
      </w:tr>
      <w:tr>
        <w:tc>
          <w:tcPr>
            <w:tcW w:type="dxa" w:w="3200"/>
            <w:shd w:val="clear" w:color="auto" w:fill="FFFFFF"/>
            <w:tcMar>
              <w:top w:w="60" w:type="dxa"/>
              <w:bottom w:w="60" w:type="dxa"/>
              <w:left w:w="80" w:type="dxa"/>
              <w:right w:w="80" w:type="dxa"/>
            </w:tcMar>
            <w:vAlign w:val="center"/>
          </w:tcPr>
          <w:p>
            <w:pPr>
              <w:jc w:val="left"/>
            </w:pPr>
            <w:r/>
            <w:r>
              <w:rPr>
                <w:rFonts w:ascii="Calibri" w:hAnsi="Calibri"/>
                <w:b w:val="0"/>
                <w:sz w:val="19"/>
              </w:rPr>
              <w:t>Annual</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30/year</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YES</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None within limit</w:t>
            </w:r>
          </w:p>
        </w:tc>
      </w:tr>
      <w:tr>
        <w:tc>
          <w:tcPr>
            <w:tcW w:type="dxa" w:w="3200"/>
            <w:shd w:val="clear" w:color="auto" w:fill="F5F7FA"/>
            <w:tcMar>
              <w:top w:w="60" w:type="dxa"/>
              <w:bottom w:w="60" w:type="dxa"/>
              <w:left w:w="80" w:type="dxa"/>
              <w:right w:w="80" w:type="dxa"/>
            </w:tcMar>
            <w:vAlign w:val="center"/>
          </w:tcPr>
          <w:p>
            <w:pPr>
              <w:jc w:val="left"/>
            </w:pPr>
            <w:r/>
            <w:r>
              <w:rPr>
                <w:rFonts w:ascii="Calibri" w:hAnsi="Calibri"/>
                <w:b w:val="0"/>
                <w:sz w:val="19"/>
              </w:rPr>
              <w:t>Emergency</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15 once/year</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NO</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None</w:t>
            </w:r>
          </w:p>
        </w:tc>
      </w:tr>
      <w:tr>
        <w:tc>
          <w:tcPr>
            <w:tcW w:type="dxa" w:w="3200"/>
            <w:shd w:val="clear" w:color="auto" w:fill="FFFFFF"/>
            <w:tcMar>
              <w:top w:w="60" w:type="dxa"/>
              <w:bottom w:w="60" w:type="dxa"/>
              <w:left w:w="80" w:type="dxa"/>
              <w:right w:w="80" w:type="dxa"/>
            </w:tcMar>
            <w:vAlign w:val="center"/>
          </w:tcPr>
          <w:p>
            <w:pPr>
              <w:jc w:val="left"/>
            </w:pPr>
            <w:r/>
            <w:r>
              <w:rPr>
                <w:rFonts w:ascii="Calibri" w:hAnsi="Calibri"/>
                <w:b w:val="0"/>
                <w:sz w:val="19"/>
              </w:rPr>
              <w:t>Sick (normal)</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As needed</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NO</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Basic ÷ 30 per day</w:t>
            </w:r>
          </w:p>
        </w:tc>
      </w:tr>
      <w:tr>
        <w:tc>
          <w:tcPr>
            <w:tcW w:type="dxa" w:w="3200"/>
            <w:shd w:val="clear" w:color="auto" w:fill="F5F7FA"/>
            <w:tcMar>
              <w:top w:w="60" w:type="dxa"/>
              <w:bottom w:w="60" w:type="dxa"/>
              <w:left w:w="80" w:type="dxa"/>
              <w:right w:w="80" w:type="dxa"/>
            </w:tcMar>
            <w:vAlign w:val="center"/>
          </w:tcPr>
          <w:p>
            <w:pPr>
              <w:jc w:val="left"/>
            </w:pPr>
            <w:r/>
            <w:r>
              <w:rPr>
                <w:rFonts w:ascii="Calibri" w:hAnsi="Calibri"/>
                <w:b w:val="0"/>
                <w:sz w:val="19"/>
              </w:rPr>
              <w:t>Sick (major illness)</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60 days</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NO</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None — paid in full</w:t>
            </w:r>
          </w:p>
        </w:tc>
      </w:tr>
      <w:tr>
        <w:tc>
          <w:tcPr>
            <w:tcW w:type="dxa" w:w="3200"/>
            <w:shd w:val="clear" w:color="auto" w:fill="FFFFFF"/>
            <w:tcMar>
              <w:top w:w="60" w:type="dxa"/>
              <w:bottom w:w="60" w:type="dxa"/>
              <w:left w:w="80" w:type="dxa"/>
              <w:right w:w="80" w:type="dxa"/>
            </w:tcMar>
            <w:vAlign w:val="center"/>
          </w:tcPr>
          <w:p>
            <w:pPr>
              <w:jc w:val="left"/>
            </w:pPr>
            <w:r/>
            <w:r>
              <w:rPr>
                <w:rFonts w:ascii="Calibri" w:hAnsi="Calibri"/>
                <w:b w:val="0"/>
                <w:sz w:val="19"/>
              </w:rPr>
              <w:t>Unpaid Phase 1 (days 1–30 over limit)</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30</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NO</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HRA + Conv + Tech deducted per day</w:t>
            </w:r>
          </w:p>
        </w:tc>
      </w:tr>
      <w:tr>
        <w:tc>
          <w:tcPr>
            <w:tcW w:type="dxa" w:w="3200"/>
            <w:shd w:val="clear" w:color="auto" w:fill="F5F7FA"/>
            <w:tcMar>
              <w:top w:w="60" w:type="dxa"/>
              <w:bottom w:w="60" w:type="dxa"/>
              <w:left w:w="80" w:type="dxa"/>
              <w:right w:w="80" w:type="dxa"/>
            </w:tcMar>
            <w:vAlign w:val="center"/>
          </w:tcPr>
          <w:p>
            <w:pPr>
              <w:jc w:val="left"/>
            </w:pPr>
            <w:r/>
            <w:r>
              <w:rPr>
                <w:rFonts w:ascii="Calibri" w:hAnsi="Calibri"/>
                <w:b w:val="0"/>
                <w:sz w:val="19"/>
              </w:rPr>
              <w:t>Unpaid Phase 2 (days 31+ over limit)</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Unlimited</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NO</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Full SalaryPackage ÷ 30 per day</w:t>
            </w:r>
          </w:p>
        </w:tc>
      </w:tr>
    </w:tbl>
    <w:p>
      <w:pPr>
        <w:spacing w:before="60" w:after="60"/>
      </w:pPr>
    </w:p>
    <w:p>
      <w:pPr>
        <w:pBdr>
          <w:left w:val="thick" w:sz="12" w:space="8" w:color="E65100"/>
        </w:pBdr>
        <w:ind w:left="360"/>
        <w:spacing w:before="60" w:after="60"/>
      </w:pPr>
      <w:r>
        <w:rPr>
          <w:rFonts w:ascii="Calibri" w:hAnsi="Calibri"/>
          <w:i/>
          <w:color w:val="E65100"/>
          <w:sz w:val="19"/>
        </w:rPr>
        <w:t>Note: Levy before rejoining: SAR 800/month per month of overstay. Employee MUST clear ALL levy before REJOINED status is allowed.</w:t>
      </w:r>
    </w:p>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8 — Travel Agency (RAT + GWT)</w:t>
      </w:r>
    </w:p>
    <w:p>
      <w:pPr>
        <w:pStyle w:val="Heading2"/>
        <w:spacing w:before="240" w:after="80"/>
      </w:pPr>
      <w:r>
        <w:rPr>
          <w:rFonts w:ascii="Calibri" w:hAnsi="Calibri"/>
          <w:b/>
          <w:color w:val="1A2E3D"/>
          <w:sz w:val="24"/>
        </w:rPr>
        <w:t>8.1  Air Ticket Entry</w:t>
      </w:r>
    </w:p>
    <w:p>
      <w:pPr>
        <w:spacing w:before="40" w:after="60"/>
      </w:pPr>
      <w:r>
        <w:rPr>
          <w:rFonts w:ascii="Calibri" w:hAnsi="Calibri"/>
          <w:i w:val="0"/>
          <w:sz w:val="20"/>
        </w:rPr>
        <w:t>Ticket# | Ticket Type (0=Normal/1=E/F/2=DR) | Passenger Name | Routing | Class (F/C/Y/W) | Ticket Value | Tax | Net to Carrier (auto) | Discount % | Selling Fare | Commission (auto from Airlines table) | Account# | Invoice# | Date | Agent (dropdown) | Payment Type (CASH/CREDIT)</w:t>
      </w:r>
    </w:p>
    <w:p>
      <w:pPr>
        <w:pStyle w:val="Heading2"/>
        <w:spacing w:before="240" w:after="80"/>
      </w:pPr>
      <w:r>
        <w:rPr>
          <w:rFonts w:ascii="Calibri" w:hAnsi="Calibri"/>
          <w:b/>
          <w:color w:val="1A2E3D"/>
          <w:sz w:val="24"/>
        </w:rPr>
        <w:t>8.2  VAT</w:t>
      </w:r>
    </w:p>
    <w:tbl>
      <w:tblPr>
        <w:tblStyle w:val="TableGrid"/>
        <w:tblW w:type="auto" w:w="0"/>
        <w:tblLook w:firstColumn="1" w:firstRow="1" w:lastColumn="0" w:lastRow="0" w:noHBand="0" w:noVBand="1" w:val="04A0"/>
      </w:tblPr>
      <w:tblGrid>
        <w:gridCol w:w="2000"/>
        <w:gridCol w:w="2500"/>
        <w:gridCol w:w="4800"/>
      </w:tblGrid>
      <w:tr>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Route</w:t>
            </w:r>
          </w:p>
        </w:tc>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VAT Rate</w:t>
            </w:r>
          </w:p>
        </w:tc>
        <w:tc>
          <w:tcPr>
            <w:tcW w:type="dxa" w:w="4800"/>
            <w:shd w:val="clear" w:color="auto" w:fill="1565C0"/>
            <w:tcMar>
              <w:top w:w="60" w:type="dxa"/>
              <w:bottom w:w="60" w:type="dxa"/>
              <w:left w:w="80" w:type="dxa"/>
              <w:right w:w="80" w:type="dxa"/>
            </w:tcMar>
            <w:vAlign w:val="center"/>
          </w:tcPr>
          <w:p>
            <w:r/>
            <w:r>
              <w:rPr>
                <w:rFonts w:ascii="Calibri" w:hAnsi="Calibri"/>
                <w:b/>
                <w:color w:val="FFFFFF"/>
                <w:sz w:val="19"/>
              </w:rPr>
              <w:t>Notes</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DOM (Domestic)</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15% of ticket value</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Applied to ticket + service fees</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INT (International)</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0% — zero rated</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Service fees: 15% VAT separately</w:t>
            </w:r>
          </w:p>
        </w:tc>
      </w:tr>
    </w:tbl>
    <w:p>
      <w:pPr>
        <w:spacing w:before="60" w:after="60"/>
      </w:pPr>
    </w:p>
    <w:p>
      <w:pPr>
        <w:pStyle w:val="Heading2"/>
        <w:spacing w:before="240" w:after="80"/>
      </w:pPr>
      <w:r>
        <w:rPr>
          <w:rFonts w:ascii="Calibri" w:hAnsi="Calibri"/>
          <w:b/>
          <w:color w:val="1A2E3D"/>
          <w:sz w:val="24"/>
        </w:rPr>
        <w:t>8.3  BSP &amp; Refunds</w:t>
      </w:r>
    </w:p>
    <w:p>
      <w:pPr>
        <w:spacing w:before="40" w:after="60"/>
      </w:pPr>
      <w:r>
        <w:rPr>
          <w:rFonts w:ascii="Calibri" w:hAnsi="Calibri"/>
          <w:i w:val="0"/>
          <w:sz w:val="20"/>
        </w:rPr>
        <w:t>BSP: Period | BSP# | Gross Sales | Gross Refunds | Commission | Net Remittance | Due Date | Status.</w:t>
      </w:r>
    </w:p>
    <w:p>
      <w:pPr>
        <w:spacing w:before="40" w:after="60"/>
      </w:pPr>
      <w:r>
        <w:rPr>
          <w:rFonts w:ascii="Calibri" w:hAnsi="Calibri"/>
          <w:i w:val="0"/>
          <w:sz w:val="20"/>
        </w:rPr>
        <w:t>Refunds: Original Ticket# | Gross Refund | Penalty | Net Refund | VAT Refund | Credit Note# | Status.</w:t>
      </w:r>
    </w:p>
    <w:p>
      <w:pPr>
        <w:pStyle w:val="Heading1"/>
        <w:spacing w:before="320" w:after="120"/>
        <w:pBdr>
          <w:bottom w:val="single" w:sz="6" w:space="4" w:color="1565C0"/>
        </w:pBdr>
      </w:pPr>
      <w:r>
        <w:rPr>
          <w:rFonts w:ascii="Calibri" w:hAnsi="Calibri"/>
          <w:b/>
          <w:color w:val="1565C0"/>
          <w:sz w:val="28"/>
        </w:rPr>
        <w:t>Section 9 — Travel Reports (RAT + GWT)</w:t>
      </w:r>
    </w:p>
    <w:tbl>
      <w:tblPr>
        <w:tblStyle w:val="TableGrid"/>
        <w:tblW w:type="auto" w:w="0"/>
        <w:tblLook w:firstColumn="1" w:firstRow="1" w:lastColumn="0" w:lastRow="0" w:noHBand="0" w:noVBand="1" w:val="04A0"/>
      </w:tblPr>
      <w:tblGrid>
        <w:gridCol w:w="500"/>
        <w:gridCol w:w="3000"/>
        <w:gridCol w:w="5800"/>
      </w:tblGrid>
      <w:tr>
        <w:tc>
          <w:tcPr>
            <w:tcW w:type="dxa" w:w="500"/>
            <w:shd w:val="clear" w:color="auto" w:fill="1565C0"/>
            <w:tcMar>
              <w:top w:w="60" w:type="dxa"/>
              <w:bottom w:w="60" w:type="dxa"/>
              <w:left w:w="80" w:type="dxa"/>
              <w:right w:w="80" w:type="dxa"/>
            </w:tcMar>
            <w:vAlign w:val="center"/>
          </w:tcPr>
          <w:p>
            <w:r/>
            <w:r>
              <w:rPr>
                <w:rFonts w:ascii="Calibri" w:hAnsi="Calibri"/>
                <w:b/>
                <w:color w:val="FFFFFF"/>
                <w:sz w:val="19"/>
              </w:rPr>
              <w:t>#</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Report</w:t>
            </w:r>
          </w:p>
        </w:tc>
        <w:tc>
          <w:tcPr>
            <w:tcW w:type="dxa" w:w="5800"/>
            <w:shd w:val="clear" w:color="auto" w:fill="1565C0"/>
            <w:tcMar>
              <w:top w:w="60" w:type="dxa"/>
              <w:bottom w:w="60" w:type="dxa"/>
              <w:left w:w="80" w:type="dxa"/>
              <w:right w:w="80" w:type="dxa"/>
            </w:tcMar>
            <w:vAlign w:val="center"/>
          </w:tcPr>
          <w:p>
            <w:r/>
            <w:r>
              <w:rPr>
                <w:rFonts w:ascii="Calibri" w:hAnsi="Calibri"/>
                <w:b/>
                <w:color w:val="FFFFFF"/>
                <w:sz w:val="19"/>
              </w:rPr>
              <w:t>Filter / Output</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1</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Airline Accounts</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Airline, Date → Sales, Refund, Discount, Net</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2</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Chart of Accounts</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Account listing</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3</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Daily Sales &amp; Refund</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Date → Tickets, Fares, Refunds, Net</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4</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Sales of an Employee</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Agent, Date → count, Fares, Commission</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5</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Credit (CR) Report</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Credit customers, Outstanding, Overdue</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6</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Airlines Sales Summary</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All airlines → Code, Sales, Refunds, Net</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7</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Airlines Sales Report 1 (Normal)</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Type = 0 tickets only</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8</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Airlines Sales Report 2 (Special)</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Type = 1, 2 tickets only</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9</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Customer Discounts</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Customer, Date → Discount%, Amount</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10</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General Ledger</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Account → Date | Particulars | Dr | Cr | Balance</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11</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Print Invoices</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Invoice# → full ZATCA QR invoice</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12</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Print Credit Notes</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Credit note → full printout</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13</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Invoice List</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Date Range → Date, Invoice#, Customer, Amount</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14</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Customer Balances List</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All customers → Account# | Name | Tel | Balance</w:t>
            </w:r>
          </w:p>
        </w:tc>
      </w:tr>
      <w:tr>
        <w:tc>
          <w:tcPr>
            <w:tcW w:type="dxa" w:w="500"/>
            <w:shd w:val="clear" w:color="auto" w:fill="FFFFFF"/>
            <w:tcMar>
              <w:top w:w="60" w:type="dxa"/>
              <w:bottom w:w="60" w:type="dxa"/>
              <w:left w:w="80" w:type="dxa"/>
              <w:right w:w="80" w:type="dxa"/>
            </w:tcMar>
            <w:vAlign w:val="center"/>
          </w:tcPr>
          <w:p>
            <w:pPr>
              <w:jc w:val="left"/>
            </w:pPr>
            <w:r/>
            <w:r>
              <w:rPr>
                <w:rFonts w:ascii="Calibri" w:hAnsi="Calibri"/>
                <w:b w:val="0"/>
                <w:sz w:val="19"/>
              </w:rPr>
              <w:t>15</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Statement of Account</w:t>
            </w:r>
          </w:p>
        </w:tc>
        <w:tc>
          <w:tcPr>
            <w:tcW w:type="dxa" w:w="5800"/>
            <w:shd w:val="clear" w:color="auto" w:fill="FFFFFF"/>
            <w:tcMar>
              <w:top w:w="60" w:type="dxa"/>
              <w:bottom w:w="60" w:type="dxa"/>
              <w:left w:w="80" w:type="dxa"/>
              <w:right w:w="80" w:type="dxa"/>
            </w:tcMar>
            <w:vAlign w:val="center"/>
          </w:tcPr>
          <w:p>
            <w:pPr>
              <w:jc w:val="left"/>
            </w:pPr>
            <w:r/>
            <w:r>
              <w:rPr>
                <w:rFonts w:ascii="Calibri" w:hAnsi="Calibri"/>
                <w:b w:val="0"/>
                <w:sz w:val="19"/>
              </w:rPr>
              <w:t>Customer → Date | Details | Dr | Cr | Balance</w:t>
            </w:r>
          </w:p>
        </w:tc>
      </w:tr>
      <w:tr>
        <w:tc>
          <w:tcPr>
            <w:tcW w:type="dxa" w:w="500"/>
            <w:shd w:val="clear" w:color="auto" w:fill="F5F7FA"/>
            <w:tcMar>
              <w:top w:w="60" w:type="dxa"/>
              <w:bottom w:w="60" w:type="dxa"/>
              <w:left w:w="80" w:type="dxa"/>
              <w:right w:w="80" w:type="dxa"/>
            </w:tcMar>
            <w:vAlign w:val="center"/>
          </w:tcPr>
          <w:p>
            <w:pPr>
              <w:jc w:val="left"/>
            </w:pPr>
            <w:r/>
            <w:r>
              <w:rPr>
                <w:rFonts w:ascii="Calibri" w:hAnsi="Calibri"/>
                <w:b w:val="0"/>
                <w:sz w:val="19"/>
              </w:rPr>
              <w:t>16</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Tickets Below Margin</w:t>
            </w:r>
          </w:p>
        </w:tc>
        <w:tc>
          <w:tcPr>
            <w:tcW w:type="dxa" w:w="5800"/>
            <w:shd w:val="clear" w:color="auto" w:fill="F5F7FA"/>
            <w:tcMar>
              <w:top w:w="60" w:type="dxa"/>
              <w:bottom w:w="60" w:type="dxa"/>
              <w:left w:w="80" w:type="dxa"/>
              <w:right w:w="80" w:type="dxa"/>
            </w:tcMar>
            <w:vAlign w:val="center"/>
          </w:tcPr>
          <w:p>
            <w:pPr>
              <w:jc w:val="left"/>
            </w:pPr>
            <w:r/>
            <w:r>
              <w:rPr>
                <w:rFonts w:ascii="Calibri" w:hAnsi="Calibri"/>
                <w:b w:val="0"/>
                <w:sz w:val="19"/>
              </w:rPr>
              <w:t>Set min margin → shows tickets below it</w:t>
            </w:r>
          </w:p>
        </w:tc>
      </w:tr>
    </w:tbl>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10 — ACCSYS Corporate: Projects, Jobs &amp; Contractor Hierarchy</w:t>
      </w:r>
    </w:p>
    <w:p>
      <w:pPr>
        <w:pStyle w:val="Heading2"/>
        <w:spacing w:before="240" w:after="80"/>
      </w:pPr>
      <w:r>
        <w:rPr>
          <w:rFonts w:ascii="Calibri" w:hAnsi="Calibri"/>
          <w:b/>
          <w:color w:val="1A2E3D"/>
          <w:sz w:val="24"/>
        </w:rPr>
        <w:t>10.1  Three-Tier Structure</w:t>
      </w:r>
    </w:p>
    <w:tbl>
      <w:tblPr>
        <w:tblStyle w:val="TableGrid"/>
        <w:tblW w:type="auto" w:w="0"/>
        <w:tblLook w:firstColumn="1" w:firstRow="1" w:lastColumn="0" w:lastRow="0" w:noHBand="0" w:noVBand="1" w:val="04A0"/>
      </w:tblPr>
      <w:tblGrid>
        <w:gridCol w:w="2800"/>
        <w:gridCol w:w="3500"/>
        <w:gridCol w:w="3000"/>
      </w:tblGrid>
      <w:tr>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Tier</w:t>
            </w:r>
          </w:p>
        </w:tc>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Party</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Ratal's Relationship</w:t>
            </w:r>
          </w:p>
        </w:tc>
      </w:tr>
      <w:tr>
        <w:tc>
          <w:tcPr>
            <w:tcW w:type="dxa" w:w="2800"/>
            <w:shd w:val="clear" w:color="auto" w:fill="E3F2FD"/>
            <w:tcMar>
              <w:top w:w="60" w:type="dxa"/>
              <w:bottom w:w="60" w:type="dxa"/>
              <w:left w:w="80" w:type="dxa"/>
              <w:right w:w="80" w:type="dxa"/>
            </w:tcMar>
            <w:vAlign w:val="center"/>
          </w:tcPr>
          <w:p>
            <w:pPr>
              <w:jc w:val="left"/>
            </w:pPr>
            <w:r/>
            <w:r>
              <w:rPr>
                <w:rFonts w:ascii="Calibri" w:hAnsi="Calibri"/>
                <w:b/>
                <w:color w:val="1565C0"/>
                <w:sz w:val="19"/>
              </w:rPr>
              <w:t>Tier 1 — End Customer</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STC, Mobily, Zain, TAWAL, Ministries, Banks</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Network owner. Sets specification. Ratal has NO direct contract with Tier 1.</w:t>
            </w:r>
          </w:p>
        </w:tc>
      </w:tr>
      <w:tr>
        <w:tc>
          <w:tcPr>
            <w:tcW w:type="dxa" w:w="2800"/>
            <w:shd w:val="clear" w:color="auto" w:fill="E8F5E9"/>
            <w:tcMar>
              <w:top w:w="60" w:type="dxa"/>
              <w:bottom w:w="60" w:type="dxa"/>
              <w:left w:w="80" w:type="dxa"/>
              <w:right w:w="80" w:type="dxa"/>
            </w:tcMar>
            <w:vAlign w:val="center"/>
          </w:tcPr>
          <w:p>
            <w:pPr>
              <w:jc w:val="left"/>
            </w:pPr>
            <w:r/>
            <w:r>
              <w:rPr>
                <w:rFonts w:ascii="Calibri" w:hAnsi="Calibri"/>
                <w:b/>
                <w:color w:val="2E7D32"/>
                <w:sz w:val="19"/>
              </w:rPr>
              <w:t>Tier 2 — Contractor</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Nokia, Huawei, Cisco, ZTE, SBM, BMC, MIS, Solutions, Mobi Serve, Ericsson, Juniper</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Issues POs to Ratal. RATAL INVOICES THIS TIER ONLY — referencing Contractor PO#.</w:t>
            </w:r>
          </w:p>
        </w:tc>
      </w:tr>
      <w:tr>
        <w:tc>
          <w:tcPr>
            <w:tcW w:type="dxa" w:w="2800"/>
            <w:shd w:val="clear" w:color="auto" w:fill="F5F7FA"/>
            <w:tcMar>
              <w:top w:w="60" w:type="dxa"/>
              <w:bottom w:w="60" w:type="dxa"/>
              <w:left w:w="80" w:type="dxa"/>
              <w:right w:w="80" w:type="dxa"/>
            </w:tcMar>
            <w:vAlign w:val="center"/>
          </w:tcPr>
          <w:p>
            <w:pPr>
              <w:jc w:val="left"/>
            </w:pPr>
            <w:r/>
            <w:r>
              <w:rPr>
                <w:rFonts w:ascii="Calibri" w:hAnsi="Calibri"/>
                <w:b/>
                <w:sz w:val="19"/>
              </w:rPr>
              <w:t>Tier 3 — Ratal ACCSYS</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Ratal Group (Sub-Contractor)</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Executes field delivery. Issues ACC-PO-XXXX outward to sub-cons and suppliers.</w:t>
            </w:r>
          </w:p>
        </w:tc>
      </w:tr>
    </w:tbl>
    <w:p>
      <w:pPr>
        <w:spacing w:before="60" w:after="60"/>
      </w:pPr>
    </w:p>
    <w:p>
      <w:pPr>
        <w:pStyle w:val="Heading2"/>
        <w:spacing w:before="240" w:after="80"/>
      </w:pPr>
      <w:r>
        <w:rPr>
          <w:rFonts w:ascii="Calibri" w:hAnsi="Calibri"/>
          <w:b/>
          <w:color w:val="1A2E3D"/>
          <w:sz w:val="24"/>
        </w:rPr>
        <w:t>10.2  Department → Contractor Mapping</w:t>
      </w:r>
    </w:p>
    <w:tbl>
      <w:tblPr>
        <w:tblStyle w:val="TableGrid"/>
        <w:tblW w:type="auto" w:w="0"/>
        <w:tblLook w:firstColumn="1" w:firstRow="1" w:lastColumn="0" w:lastRow="0" w:noHBand="0" w:noVBand="1" w:val="04A0"/>
      </w:tblPr>
      <w:tblGrid>
        <w:gridCol w:w="1800"/>
        <w:gridCol w:w="3500"/>
        <w:gridCol w:w="40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Department</w:t>
            </w:r>
          </w:p>
        </w:tc>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Works With (Contractors)</w:t>
            </w:r>
          </w:p>
        </w:tc>
        <w:tc>
          <w:tcPr>
            <w:tcW w:type="dxa" w:w="4000"/>
            <w:shd w:val="clear" w:color="auto" w:fill="1565C0"/>
            <w:tcMar>
              <w:top w:w="60" w:type="dxa"/>
              <w:bottom w:w="60" w:type="dxa"/>
              <w:left w:w="80" w:type="dxa"/>
              <w:right w:w="80" w:type="dxa"/>
            </w:tcMar>
            <w:vAlign w:val="center"/>
          </w:tcPr>
          <w:p>
            <w:r/>
            <w:r>
              <w:rPr>
                <w:rFonts w:ascii="Calibri" w:hAnsi="Calibri"/>
                <w:b/>
                <w:color w:val="FFFFFF"/>
                <w:sz w:val="19"/>
              </w:rPr>
              <w:t>For (End Clients)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NISU</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Solutions, Cisco, Nokia, Huawei</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STC, Mobily, Zain, Ministries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TISU</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Nokia, ZTE, Huawei, Mobi Serve, Shbakath</w:t>
            </w:r>
          </w:p>
        </w:tc>
        <w:tc>
          <w:tcPr>
            <w:tcW w:type="dxa" w:w="4000"/>
            <w:shd w:val="clear" w:color="auto" w:fill="F5F7FA"/>
            <w:tcMar>
              <w:top w:w="60" w:type="dxa"/>
              <w:bottom w:w="60" w:type="dxa"/>
              <w:left w:w="80" w:type="dxa"/>
              <w:right w:w="80" w:type="dxa"/>
            </w:tcMar>
            <w:vAlign w:val="center"/>
          </w:tcPr>
          <w:p>
            <w:pPr>
              <w:jc w:val="left"/>
            </w:pPr>
            <w:r/>
            <w:r>
              <w:rPr>
                <w:rFonts w:ascii="Calibri" w:hAnsi="Calibri"/>
                <w:b w:val="0"/>
                <w:sz w:val="19"/>
              </w:rPr>
              <w:t>STC, Mobily, Zain, Ministries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CISU</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SBM, ZTE, Huawei, Nokia</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STC, Mobily, Zain, Ministries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ITSU</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MIS, BMC</w:t>
            </w:r>
          </w:p>
        </w:tc>
        <w:tc>
          <w:tcPr>
            <w:tcW w:type="dxa" w:w="4000"/>
            <w:shd w:val="clear" w:color="auto" w:fill="F5F7FA"/>
            <w:tcMar>
              <w:top w:w="60" w:type="dxa"/>
              <w:bottom w:w="60" w:type="dxa"/>
              <w:left w:w="80" w:type="dxa"/>
              <w:right w:w="80" w:type="dxa"/>
            </w:tcMar>
            <w:vAlign w:val="center"/>
          </w:tcPr>
          <w:p>
            <w:pPr>
              <w:jc w:val="left"/>
            </w:pPr>
            <w:r/>
            <w:r>
              <w:rPr>
                <w:rFonts w:ascii="Calibri" w:hAnsi="Calibri"/>
                <w:b w:val="0"/>
                <w:sz w:val="19"/>
              </w:rPr>
              <w:t>STC</w:t>
            </w:r>
          </w:p>
        </w:tc>
      </w:tr>
    </w:tbl>
    <w:p>
      <w:pPr>
        <w:spacing w:before="60" w:after="60"/>
      </w:pPr>
    </w:p>
    <w:p>
      <w:pPr>
        <w:pBdr>
          <w:left w:val="thick" w:sz="12" w:space="8" w:color="2E7D32"/>
        </w:pBdr>
        <w:ind w:left="360"/>
        <w:spacing w:before="60" w:after="60"/>
      </w:pPr>
      <w:r>
        <w:rPr>
          <w:rFonts w:ascii="Calibri" w:hAnsi="Calibri"/>
          <w:b/>
          <w:color w:val="2E7D32"/>
          <w:sz w:val="19"/>
        </w:rPr>
        <w:t>✔  CONFIRMED: Invoice always references Contractor PO# — not End Customer Job#. End Customer Job# stored as additional reference only.</w:t>
      </w:r>
    </w:p>
    <w:p>
      <w:pPr>
        <w:pStyle w:val="Heading2"/>
        <w:spacing w:before="240" w:after="80"/>
      </w:pPr>
      <w:r>
        <w:rPr>
          <w:rFonts w:ascii="Calibri" w:hAnsi="Calibri"/>
          <w:b/>
          <w:color w:val="1A2E3D"/>
          <w:sz w:val="24"/>
        </w:rPr>
        <w:t>10.3  Projects DB — Key Fields</w:t>
      </w:r>
    </w:p>
    <w:tbl>
      <w:tblPr>
        <w:tblStyle w:val="TableGrid"/>
        <w:tblW w:type="auto" w:w="0"/>
        <w:tblLook w:firstColumn="1" w:firstRow="1" w:lastColumn="0" w:lastRow="0" w:noHBand="0" w:noVBand="1" w:val="04A0"/>
      </w:tblPr>
      <w:tblGrid>
        <w:gridCol w:w="3000"/>
        <w:gridCol w:w="6300"/>
      </w:tblGrid>
      <w:tr>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Field</w:t>
            </w:r>
          </w:p>
        </w:tc>
        <w:tc>
          <w:tcPr>
            <w:tcW w:type="dxa" w:w="6300"/>
            <w:shd w:val="clear" w:color="auto" w:fill="1565C0"/>
            <w:tcMar>
              <w:top w:w="60" w:type="dxa"/>
              <w:bottom w:w="60" w:type="dxa"/>
              <w:left w:w="80" w:type="dxa"/>
              <w:right w:w="80" w:type="dxa"/>
            </w:tcMar>
            <w:vAlign w:val="center"/>
          </w:tcPr>
          <w:p>
            <w:r/>
            <w:r>
              <w:rPr>
                <w:rFonts w:ascii="Calibri" w:hAnsi="Calibri"/>
                <w:b/>
                <w:color w:val="FFFFFF"/>
                <w:sz w:val="19"/>
              </w:rPr>
              <w:t>Notes</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ProjectNo</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Auto-generated: P-YY001 (e.g. P-26001). Read-only once created.</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Department</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NISU / TISU / CISU / ITSU</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ContractorID + EndCustomerID</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FK to Party List (Contractor type) and Customers table</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ContractorPONo / PODate / POValue (SAR)</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REQUIRED — the revenue reference document for this project</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EndCustomerRef</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OPTIONAL — end client Job# / RFC# for cross-referencing</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Status</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OPEN / ACTIVE / ON_HOLD / COMPLETED / CLOSED / INACTIVE / CANCELLED</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PM + Supervisor</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From employee list. One PM/Supervisor can be on multiple projects.</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Contractor PM Name / Mobile / Email</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ALL MANDATORY — contractor's project contact person</w:t>
            </w:r>
          </w:p>
        </w:tc>
      </w:tr>
      <w:tr>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ContractValue (SAR)</w:t>
            </w:r>
          </w:p>
        </w:tc>
        <w:tc>
          <w:tcPr>
            <w:tcW w:type="dxa" w:w="6300"/>
            <w:shd w:val="clear" w:color="auto" w:fill="FFFFFF"/>
            <w:tcMar>
              <w:top w:w="60" w:type="dxa"/>
              <w:bottom w:w="60" w:type="dxa"/>
              <w:left w:w="80" w:type="dxa"/>
              <w:right w:w="80" w:type="dxa"/>
            </w:tcMar>
            <w:vAlign w:val="center"/>
          </w:tcPr>
          <w:p>
            <w:pPr>
              <w:jc w:val="left"/>
            </w:pPr>
            <w:r/>
            <w:r>
              <w:rPr>
                <w:rFonts w:ascii="Calibri" w:hAnsi="Calibri"/>
                <w:b w:val="0"/>
                <w:sz w:val="19"/>
              </w:rPr>
              <w:t>No maximum — up to SAR 99M+</w:t>
            </w:r>
          </w:p>
        </w:tc>
      </w:tr>
      <w:tr>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StartDate / EndDate</w:t>
            </w:r>
          </w:p>
        </w:tc>
        <w:tc>
          <w:tcPr>
            <w:tcW w:type="dxa" w:w="6300"/>
            <w:shd w:val="clear" w:color="auto" w:fill="F5F7FA"/>
            <w:tcMar>
              <w:top w:w="60" w:type="dxa"/>
              <w:bottom w:w="60" w:type="dxa"/>
              <w:left w:w="80" w:type="dxa"/>
              <w:right w:w="80" w:type="dxa"/>
            </w:tcMar>
            <w:vAlign w:val="center"/>
          </w:tcPr>
          <w:p>
            <w:pPr>
              <w:jc w:val="left"/>
            </w:pPr>
            <w:r/>
            <w:r>
              <w:rPr>
                <w:rFonts w:ascii="Calibri" w:hAnsi="Calibri"/>
                <w:b w:val="0"/>
                <w:sz w:val="19"/>
              </w:rPr>
              <w:t>DD/MM/YYYY display format</w:t>
            </w:r>
          </w:p>
        </w:tc>
      </w:tr>
    </w:tbl>
    <w:p>
      <w:pPr>
        <w:spacing w:before="60" w:after="60"/>
      </w:pPr>
    </w:p>
    <w:p>
      <w:pPr>
        <w:pStyle w:val="Heading2"/>
        <w:spacing w:before="240" w:after="80"/>
      </w:pPr>
      <w:r>
        <w:rPr>
          <w:rFonts w:ascii="Calibri" w:hAnsi="Calibri"/>
          <w:b/>
          <w:color w:val="1A2E3D"/>
          <w:sz w:val="24"/>
        </w:rPr>
        <w:t>10.4  Budget vs Actual (Project Level)</w:t>
      </w:r>
    </w:p>
    <w:tbl>
      <w:tblPr>
        <w:tblStyle w:val="TableGrid"/>
        <w:tblW w:type="auto" w:w="0"/>
        <w:tblLook w:firstColumn="1" w:firstRow="1" w:lastColumn="0" w:lastRow="0" w:noHBand="0" w:noVBand="1" w:val="04A0"/>
      </w:tblPr>
      <w:tblGrid>
        <w:gridCol w:w="2500"/>
        <w:gridCol w:w="68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Metric</w:t>
            </w:r>
          </w:p>
        </w:tc>
        <w:tc>
          <w:tcPr>
            <w:tcW w:type="dxa" w:w="6800"/>
            <w:shd w:val="clear" w:color="auto" w:fill="1565C0"/>
            <w:tcMar>
              <w:top w:w="60" w:type="dxa"/>
              <w:bottom w:w="60" w:type="dxa"/>
              <w:left w:w="80" w:type="dxa"/>
              <w:right w:w="80" w:type="dxa"/>
            </w:tcMar>
            <w:vAlign w:val="center"/>
          </w:tcPr>
          <w:p>
            <w:r/>
            <w:r>
              <w:rPr>
                <w:rFonts w:ascii="Calibri" w:hAnsi="Calibri"/>
                <w:b/>
                <w:color w:val="FFFFFF"/>
                <w:sz w:val="19"/>
              </w:rPr>
              <w:t>Formula</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Total Cost</w:t>
            </w:r>
          </w:p>
        </w:tc>
        <w:tc>
          <w:tcPr>
            <w:tcW w:type="dxa" w:w="6800"/>
            <w:shd w:val="clear" w:color="auto" w:fill="FFFFFF"/>
            <w:tcMar>
              <w:top w:w="60" w:type="dxa"/>
              <w:bottom w:w="60" w:type="dxa"/>
              <w:left w:w="80" w:type="dxa"/>
              <w:right w:w="80" w:type="dxa"/>
            </w:tcMar>
            <w:vAlign w:val="center"/>
          </w:tcPr>
          <w:p>
            <w:pPr>
              <w:jc w:val="left"/>
            </w:pPr>
            <w:r/>
            <w:r>
              <w:rPr>
                <w:rFonts w:ascii="Calibri" w:hAnsi="Calibri"/>
                <w:b w:val="0"/>
                <w:sz w:val="19"/>
              </w:rPr>
              <w:t>Team Expenses + Supplier POs + Sub-Con POs + Material + Food + OT + Petty Cash</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Revenue (Invoiced)</w:t>
            </w:r>
          </w:p>
        </w:tc>
        <w:tc>
          <w:tcPr>
            <w:tcW w:type="dxa" w:w="6800"/>
            <w:shd w:val="clear" w:color="auto" w:fill="F5F7FA"/>
            <w:tcMar>
              <w:top w:w="60" w:type="dxa"/>
              <w:bottom w:w="60" w:type="dxa"/>
              <w:left w:w="80" w:type="dxa"/>
              <w:right w:w="80" w:type="dxa"/>
            </w:tcMar>
            <w:vAlign w:val="center"/>
          </w:tcPr>
          <w:p>
            <w:pPr>
              <w:jc w:val="left"/>
            </w:pPr>
            <w:r/>
            <w:r>
              <w:rPr>
                <w:rFonts w:ascii="Calibri" w:hAnsi="Calibri"/>
                <w:b w:val="0"/>
                <w:sz w:val="19"/>
              </w:rPr>
              <w:t>Sum of all invoices raised against Contractor POs for this project</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MARGIN</w:t>
            </w:r>
          </w:p>
        </w:tc>
        <w:tc>
          <w:tcPr>
            <w:tcW w:type="dxa" w:w="6800"/>
            <w:shd w:val="clear" w:color="auto" w:fill="FFFFFF"/>
            <w:tcMar>
              <w:top w:w="60" w:type="dxa"/>
              <w:bottom w:w="60" w:type="dxa"/>
              <w:left w:w="80" w:type="dxa"/>
              <w:right w:w="80" w:type="dxa"/>
            </w:tcMar>
            <w:vAlign w:val="center"/>
          </w:tcPr>
          <w:p>
            <w:pPr>
              <w:jc w:val="left"/>
            </w:pPr>
            <w:r/>
            <w:r>
              <w:rPr>
                <w:rFonts w:ascii="Calibri" w:hAnsi="Calibri"/>
                <w:b w:val="0"/>
                <w:sz w:val="19"/>
              </w:rPr>
              <w:t>ContractorPOValue − Total Cost</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MARGIN %</w:t>
            </w:r>
          </w:p>
        </w:tc>
        <w:tc>
          <w:tcPr>
            <w:tcW w:type="dxa" w:w="6800"/>
            <w:shd w:val="clear" w:color="auto" w:fill="F5F7FA"/>
            <w:tcMar>
              <w:top w:w="60" w:type="dxa"/>
              <w:bottom w:w="60" w:type="dxa"/>
              <w:left w:w="80" w:type="dxa"/>
              <w:right w:w="80" w:type="dxa"/>
            </w:tcMar>
            <w:vAlign w:val="center"/>
          </w:tcPr>
          <w:p>
            <w:pPr>
              <w:jc w:val="left"/>
            </w:pPr>
            <w:r/>
            <w:r>
              <w:rPr>
                <w:rFonts w:ascii="Calibri" w:hAnsi="Calibri"/>
                <w:b w:val="0"/>
                <w:sz w:val="19"/>
              </w:rPr>
              <w:t>Margin ÷ ContractorPOValue × 100</w:t>
            </w:r>
          </w:p>
        </w:tc>
      </w:tr>
    </w:tbl>
    <w:p>
      <w:pPr>
        <w:spacing w:before="60" w:after="60"/>
      </w:pPr>
    </w:p>
    <w:p>
      <w:pPr>
        <w:pBdr>
          <w:left w:val="thick" w:sz="12" w:space="8" w:color="E65100"/>
        </w:pBdr>
        <w:ind w:left="360"/>
        <w:spacing w:before="60" w:after="60"/>
      </w:pPr>
      <w:r>
        <w:rPr>
          <w:rFonts w:ascii="Calibri" w:hAnsi="Calibri"/>
          <w:i/>
          <w:color w:val="E65100"/>
          <w:sz w:val="19"/>
        </w:rPr>
        <w:t>Note: Site Master (Part Two) provides a deeper site-level Budget vs Actual with budget locking, milestone gating, and traffic light alerts at 70/85/95/100% of budget.</w:t>
      </w:r>
    </w:p>
    <w:p>
      <w:pPr>
        <w:spacing w:before="60" w:after="60"/>
      </w:pPr>
    </w:p>
    <w:p>
      <w:pPr>
        <w:pStyle w:val="Heading1"/>
        <w:spacing w:before="320" w:after="120"/>
        <w:pBdr>
          <w:bottom w:val="single" w:sz="6" w:space="4" w:color="1565C0"/>
        </w:pBdr>
      </w:pPr>
      <w:r>
        <w:rPr>
          <w:rFonts w:ascii="Calibri" w:hAnsi="Calibri"/>
          <w:b/>
          <w:color w:val="1565C0"/>
          <w:sz w:val="28"/>
        </w:rPr>
        <w:t>Section 11 — Field Team Apps (ACCSYS)</w:t>
      </w:r>
    </w:p>
    <w:p>
      <w:pPr>
        <w:pStyle w:val="Heading2"/>
        <w:spacing w:before="240" w:after="80"/>
      </w:pPr>
      <w:r>
        <w:rPr>
          <w:rFonts w:ascii="Calibri" w:hAnsi="Calibri"/>
          <w:b/>
          <w:color w:val="1A2E3D"/>
          <w:sz w:val="24"/>
        </w:rPr>
        <w:t>11.1–11.3  Submission Forms</w:t>
      </w:r>
    </w:p>
    <w:tbl>
      <w:tblPr>
        <w:tblStyle w:val="TableGrid"/>
        <w:tblW w:type="auto" w:w="0"/>
        <w:tblLook w:firstColumn="1" w:firstRow="1" w:lastColumn="0" w:lastRow="0" w:noHBand="0" w:noVBand="1" w:val="04A0"/>
      </w:tblPr>
      <w:tblGrid>
        <w:gridCol w:w="2000"/>
        <w:gridCol w:w="2500"/>
        <w:gridCol w:w="4800"/>
      </w:tblGrid>
      <w:tr>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Form</w:t>
            </w:r>
          </w:p>
        </w:tc>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URL</w:t>
            </w:r>
          </w:p>
        </w:tc>
        <w:tc>
          <w:tcPr>
            <w:tcW w:type="dxa" w:w="4800"/>
            <w:shd w:val="clear" w:color="auto" w:fill="1565C0"/>
            <w:tcMar>
              <w:top w:w="60" w:type="dxa"/>
              <w:bottom w:w="60" w:type="dxa"/>
              <w:left w:w="80" w:type="dxa"/>
              <w:right w:w="80" w:type="dxa"/>
            </w:tcMar>
            <w:vAlign w:val="center"/>
          </w:tcPr>
          <w:p>
            <w:r/>
            <w:r>
              <w:rPr>
                <w:rFonts w:ascii="Calibri" w:hAnsi="Calibri"/>
                <w:b/>
                <w:color w:val="FFFFFF"/>
                <w:sz w:val="19"/>
              </w:rPr>
              <w:t>Key Auto-fills / Gate</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Expense</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/forms/expense</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Job Activator: Site# → Project#, Job#, Contractor auto-filled. Telegram ack on submit.</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Food Allowance</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/forms/food-allowance</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Gate: FoodAllowanceEligible = YES AND Location = REMOTE. Rate: SAR 30 or SAR 20/day.</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Overtime</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/forms/overtime</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Gate: OTAllowed = YES AND monthly hours &lt; 60. Rate: Basic ÷ 30 ÷ 8 × 1.5. Auto-calculated.</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Car Maintenance</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/forms/car-maintenance</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Submits to DH → Accounts → RECEIVING + EXPENSE by employee.</w:t>
            </w:r>
          </w:p>
        </w:tc>
      </w:tr>
    </w:tbl>
    <w:p>
      <w:pPr>
        <w:spacing w:before="60" w:after="60"/>
      </w:pPr>
    </w:p>
    <w:p>
      <w:pPr>
        <w:pStyle w:val="Heading2"/>
        <w:spacing w:before="240" w:after="80"/>
      </w:pPr>
      <w:r>
        <w:rPr>
          <w:rFonts w:ascii="Calibri" w:hAnsi="Calibri"/>
          <w:b/>
          <w:color w:val="1A2E3D"/>
          <w:sz w:val="24"/>
        </w:rPr>
        <w:t>11.4  Site Status Stages</w:t>
      </w:r>
    </w:p>
    <w:p>
      <w:pPr>
        <w:spacing w:before="40" w:after="60"/>
      </w:pPr>
      <w:r>
        <w:rPr>
          <w:rFonts w:ascii="Calibri" w:hAnsi="Calibri"/>
          <w:i w:val="0"/>
          <w:sz w:val="20"/>
        </w:rPr>
        <w:t>PENDING → MOBILISED → IN_PROGRESS → MATERIAL_WAITING → COMPLETED → SNAGGING → HANDED_OVER → INVOICED</w:t>
      </w:r>
    </w:p>
    <w:p>
      <w:pPr>
        <w:pStyle w:val="Heading2"/>
        <w:spacing w:before="240" w:after="80"/>
      </w:pPr>
      <w:r>
        <w:rPr>
          <w:rFonts w:ascii="Calibri" w:hAnsi="Calibri"/>
          <w:b/>
          <w:color w:val="1A2E3D"/>
          <w:sz w:val="24"/>
        </w:rPr>
        <w:t>11.5  GPS Site Registration</w:t>
      </w:r>
    </w:p>
    <w:p>
      <w:pPr>
        <w:spacing w:before="40" w:after="60"/>
      </w:pPr>
      <w:r>
        <w:rPr>
          <w:rFonts w:ascii="Calibri" w:hAnsi="Calibri"/>
          <w:i w:val="0"/>
          <w:sz w:val="20"/>
        </w:rPr>
        <w:t>First visit: Employee shares Telegram GPS → creates UNCONFIRMED record. Next 2 visits within 500m → GPS averaged and LOCKED (CONFIRMED). Admin can enter Google Maps coordinates directly (ADMIN_CONFIRMED).</w:t>
      </w:r>
    </w:p>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12 — Accounting (All Entities)</w:t>
      </w:r>
    </w:p>
    <w:p>
      <w:pPr>
        <w:pBdr>
          <w:left w:val="thick" w:sz="12" w:space="8" w:color="1565C0"/>
        </w:pBdr>
        <w:ind w:left="360"/>
        <w:spacing w:before="60" w:after="60"/>
      </w:pPr>
      <w:r>
        <w:rPr>
          <w:rFonts w:ascii="Calibri" w:hAnsi="Calibri"/>
          <w:color w:val="1565C0"/>
          <w:sz w:val="19"/>
        </w:rPr>
        <w:t>Core Principle: Every transaction auto-posts to the ledger. No manual double-entry.</w:t>
      </w:r>
    </w:p>
    <w:p>
      <w:pPr>
        <w:pStyle w:val="Heading2"/>
        <w:spacing w:before="240" w:after="80"/>
      </w:pPr>
      <w:r>
        <w:rPr>
          <w:rFonts w:ascii="Calibri" w:hAnsi="Calibri"/>
          <w:b/>
          <w:color w:val="1A2E3D"/>
          <w:sz w:val="24"/>
        </w:rPr>
        <w:t>12.1  Ledger Categories</w:t>
      </w:r>
    </w:p>
    <w:tbl>
      <w:tblPr>
        <w:tblStyle w:val="TableGrid"/>
        <w:tblW w:type="auto" w:w="0"/>
        <w:tblLook w:firstColumn="1" w:firstRow="1" w:lastColumn="0" w:lastRow="0" w:noHBand="0" w:noVBand="1" w:val="04A0"/>
      </w:tblPr>
      <w:tblGrid>
        <w:gridCol w:w="2000"/>
        <w:gridCol w:w="1800"/>
        <w:gridCol w:w="5500"/>
      </w:tblGrid>
      <w:tr>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Category</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Code Range</w:t>
            </w:r>
          </w:p>
        </w:tc>
        <w:tc>
          <w:tcPr>
            <w:tcW w:type="dxa" w:w="5500"/>
            <w:shd w:val="clear" w:color="auto" w:fill="1565C0"/>
            <w:tcMar>
              <w:top w:w="60" w:type="dxa"/>
              <w:bottom w:w="60" w:type="dxa"/>
              <w:left w:w="80" w:type="dxa"/>
              <w:right w:w="80" w:type="dxa"/>
            </w:tcMar>
            <w:vAlign w:val="center"/>
          </w:tcPr>
          <w:p>
            <w:r/>
            <w:r>
              <w:rPr>
                <w:rFonts w:ascii="Calibri" w:hAnsi="Calibri"/>
                <w:b/>
                <w:color w:val="FFFFFF"/>
                <w:sz w:val="19"/>
              </w:rPr>
              <w:t>Key Accounts</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BANK</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ANB-xx</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ANB-15 (ACCSYS) | ANB-77 (TISU) | ANB-39 (NISU/ITSU/CISU) | ANB-18 (WPS) | ANB-29 (RAT) | ANB-11 (GWT)</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CASH</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CASH-xxx</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CASH-001 Main Petty Cash</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EXPENSE</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EXP-xxx</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EXP-001 Government | EXP-002 External | EXP-003 Employee | EXP-004 SubCon</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INTERNAL</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INT-xxx</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Adjustments | Inter-Bank | Suspense | Advance Paid | Advance Received</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CLEARING</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CLR-xxx</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CLR-001 Ahmed | CLR-002 Rashad</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GOVERNMENT</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GOV-xxx</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Iqama | Levy | CR | Visa | VAT Input/Output | GOSI | Zakat</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CUSTOMER / SUPPLIER / SUBCON / CONTRACTOR</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CUS/SUP/SCN/CON-xxx</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One account per party</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EMPLOYEE</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EMP-xxx</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One per employee (e.g. EMP-0002 Mahmood Shahbaz)</w:t>
            </w:r>
          </w:p>
        </w:tc>
      </w:tr>
    </w:tbl>
    <w:p>
      <w:pPr>
        <w:spacing w:before="60" w:after="60"/>
      </w:pPr>
    </w:p>
    <w:p>
      <w:pPr>
        <w:pStyle w:val="Heading2"/>
        <w:spacing w:before="240" w:after="80"/>
      </w:pPr>
      <w:r>
        <w:rPr>
          <w:rFonts w:ascii="Calibri" w:hAnsi="Calibri"/>
          <w:b/>
          <w:color w:val="1A2E3D"/>
          <w:sz w:val="24"/>
        </w:rPr>
        <w:t>12.2  Core Transaction Types</w:t>
      </w:r>
    </w:p>
    <w:tbl>
      <w:tblPr>
        <w:tblStyle w:val="TableGrid"/>
        <w:tblW w:type="auto" w:w="0"/>
        <w:tblLook w:firstColumn="1" w:firstRow="1" w:lastColumn="0" w:lastRow="0" w:noHBand="0" w:noVBand="1" w:val="04A0"/>
      </w:tblPr>
      <w:tblGrid>
        <w:gridCol w:w="2500"/>
        <w:gridCol w:w="2500"/>
        <w:gridCol w:w="43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Type</w:t>
            </w:r>
          </w:p>
        </w:tc>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Auto-Posts To</w:t>
            </w:r>
          </w:p>
        </w:tc>
        <w:tc>
          <w:tcPr>
            <w:tcW w:type="dxa" w:w="4300"/>
            <w:shd w:val="clear" w:color="auto" w:fill="1565C0"/>
            <w:tcMar>
              <w:top w:w="60" w:type="dxa"/>
              <w:bottom w:w="60" w:type="dxa"/>
              <w:left w:w="80" w:type="dxa"/>
              <w:right w:w="80" w:type="dxa"/>
            </w:tcMar>
            <w:vAlign w:val="center"/>
          </w:tcPr>
          <w:p>
            <w:r/>
            <w:r>
              <w:rPr>
                <w:rFonts w:ascii="Calibri" w:hAnsi="Calibri"/>
                <w:b/>
                <w:color w:val="FFFFFF"/>
                <w:sz w:val="19"/>
              </w:rPr>
              <w:t>Key Linkages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Journal Voucher</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Both ledgers simultaneously</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Dept | ProjectNo | JobNo | ContractorID | VATType</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Contra Voucher</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Both bank ledgers</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Inter-entity ANB-15 → ANB-77 / ANB-39 / ANB-18 transfers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Payment (Outgoing)</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Payee ledger + Bank/Cash</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PayeeCategory | ExpenseType | Site Master # (new)</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Receipt (Incoming)</w:t>
            </w:r>
          </w:p>
        </w:tc>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Customer ledger + Bank/Cash</w:t>
            </w:r>
          </w:p>
        </w:tc>
        <w:tc>
          <w:tcPr>
            <w:tcW w:type="dxa" w:w="4300"/>
            <w:shd w:val="clear" w:color="auto" w:fill="F5F7FA"/>
            <w:tcMar>
              <w:top w:w="60" w:type="dxa"/>
              <w:bottom w:w="60" w:type="dxa"/>
              <w:left w:w="80" w:type="dxa"/>
              <w:right w:w="80" w:type="dxa"/>
            </w:tcMar>
            <w:vAlign w:val="center"/>
          </w:tcPr>
          <w:p>
            <w:pPr>
              <w:jc w:val="left"/>
            </w:pPr>
            <w:r/>
            <w:r>
              <w:rPr>
                <w:rFonts w:ascii="Calibri" w:hAnsi="Calibri"/>
                <w:b w:val="0"/>
                <w:sz w:val="19"/>
              </w:rPr>
              <w:t>CustomerPO | Receipt Allocation (lump → multiple invoices)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Invoice (ACCSYS)</w:t>
            </w:r>
          </w:p>
        </w:tc>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Contractor ledger</w:t>
            </w:r>
          </w:p>
        </w:tc>
        <w:tc>
          <w:tcPr>
            <w:tcW w:type="dxa" w:w="4300"/>
            <w:shd w:val="clear" w:color="auto" w:fill="FFFFFF"/>
            <w:tcMar>
              <w:top w:w="60" w:type="dxa"/>
              <w:bottom w:w="60" w:type="dxa"/>
              <w:left w:w="80" w:type="dxa"/>
              <w:right w:w="80" w:type="dxa"/>
            </w:tcMar>
            <w:vAlign w:val="center"/>
          </w:tcPr>
          <w:p>
            <w:pPr>
              <w:jc w:val="left"/>
            </w:pPr>
            <w:r/>
            <w:r>
              <w:rPr>
                <w:rFonts w:ascii="Calibri" w:hAnsi="Calibri"/>
                <w:b w:val="0"/>
                <w:sz w:val="19"/>
              </w:rPr>
              <w:t>ContractorPONo (REQUIRED) | Site Master # | ZATCA QR</w:t>
            </w:r>
          </w:p>
        </w:tc>
      </w:tr>
    </w:tbl>
    <w:p>
      <w:pPr>
        <w:spacing w:before="60" w:after="60"/>
      </w:pPr>
    </w:p>
    <w:p>
      <w:pPr>
        <w:pBdr>
          <w:left w:val="thick" w:sz="12" w:space="8" w:color="E65100"/>
        </w:pBdr>
        <w:ind w:left="360"/>
        <w:spacing w:before="60" w:after="60"/>
      </w:pPr>
      <w:r>
        <w:rPr>
          <w:rFonts w:ascii="Calibri" w:hAnsi="Calibri"/>
          <w:i/>
          <w:color w:val="E65100"/>
          <w:sz w:val="19"/>
        </w:rPr>
        <w:t>Note: ACCSYS payment bank rule: ANB-15, ANB-39, or ANB-77 only. RAT/GWT accounts not available in ACCSYS forms.</w:t>
      </w:r>
    </w:p>
    <w:p>
      <w:pPr>
        <w:pStyle w:val="Heading1"/>
        <w:spacing w:before="320" w:after="120"/>
        <w:pBdr>
          <w:bottom w:val="single" w:sz="6" w:space="4" w:color="1565C0"/>
        </w:pBdr>
      </w:pPr>
      <w:r>
        <w:rPr>
          <w:rFonts w:ascii="Calibri" w:hAnsi="Calibri"/>
          <w:b/>
          <w:color w:val="1565C0"/>
          <w:sz w:val="28"/>
        </w:rPr>
        <w:t>Section 13 — Department Statements (ACCSYS)</w:t>
      </w:r>
    </w:p>
    <w:tbl>
      <w:tblPr>
        <w:tblStyle w:val="TableGrid"/>
        <w:tblW w:type="auto" w:w="0"/>
        <w:tblLook w:firstColumn="1" w:firstRow="1" w:lastColumn="0" w:lastRow="0" w:noHBand="0" w:noVBand="1" w:val="04A0"/>
      </w:tblPr>
      <w:tblGrid>
        <w:gridCol w:w="4500"/>
        <w:gridCol w:w="4800"/>
      </w:tblGrid>
      <w:tr>
        <w:tc>
          <w:tcPr>
            <w:tcW w:type="dxa" w:w="4500"/>
            <w:shd w:val="clear" w:color="auto" w:fill="1565C0"/>
            <w:tcMar>
              <w:top w:w="60" w:type="dxa"/>
              <w:bottom w:w="60" w:type="dxa"/>
              <w:left w:w="80" w:type="dxa"/>
              <w:right w:w="80" w:type="dxa"/>
            </w:tcMar>
            <w:vAlign w:val="center"/>
          </w:tcPr>
          <w:p>
            <w:r/>
            <w:r>
              <w:rPr>
                <w:rFonts w:ascii="Calibri" w:hAnsi="Calibri"/>
                <w:b/>
                <w:color w:val="FFFFFF"/>
                <w:sz w:val="19"/>
              </w:rPr>
              <w:t>Statement</w:t>
            </w:r>
          </w:p>
        </w:tc>
        <w:tc>
          <w:tcPr>
            <w:tcW w:type="dxa" w:w="4800"/>
            <w:shd w:val="clear" w:color="auto" w:fill="1565C0"/>
            <w:tcMar>
              <w:top w:w="60" w:type="dxa"/>
              <w:bottom w:w="60" w:type="dxa"/>
              <w:left w:w="80" w:type="dxa"/>
              <w:right w:w="80" w:type="dxa"/>
            </w:tcMar>
            <w:vAlign w:val="center"/>
          </w:tcPr>
          <w:p>
            <w:r/>
            <w:r>
              <w:rPr>
                <w:rFonts w:ascii="Calibri" w:hAnsi="Calibri"/>
                <w:b/>
                <w:color w:val="FFFFFF"/>
                <w:sz w:val="19"/>
              </w:rPr>
              <w:t>Filters</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Employee Statement — Salaries</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Employee | Dept | Month</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Employee Statement — Expenses</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Employee | Dept | Project | Job | Month</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Department Statement — Projects / Jobs / Expenses / Revenue / Vendors / Sub-Cons</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Dept + relevant filters</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Contractor Statement</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Contractor | Dept | Period — consolidated across all Nokia/Huawei etc. projects</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Customer Statement (End Clients)</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End Customer | Contractor | Dept | Period</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Job Cost Summary</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Job# | Budget vs Actual all categories</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Site Master P&amp;L (★ NEW)</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Site Master ID | Unit | Project | Date Range — see Part Two</w:t>
            </w:r>
          </w:p>
        </w:tc>
      </w:tr>
    </w:tbl>
    <w:p>
      <w:pPr>
        <w:spacing w:before="60" w:after="60"/>
      </w:pPr>
    </w:p>
    <w:p>
      <w:pPr>
        <w:pStyle w:val="Heading1"/>
        <w:spacing w:before="320" w:after="120"/>
        <w:pBdr>
          <w:bottom w:val="single" w:sz="6" w:space="4" w:color="1565C0"/>
        </w:pBdr>
      </w:pPr>
      <w:r>
        <w:rPr>
          <w:rFonts w:ascii="Calibri" w:hAnsi="Calibri"/>
          <w:b/>
          <w:color w:val="1565C0"/>
          <w:sz w:val="28"/>
        </w:rPr>
        <w:t>Section 14 — Invoices &amp; ZATCA</w:t>
      </w:r>
    </w:p>
    <w:tbl>
      <w:tblPr>
        <w:tblStyle w:val="TableGrid"/>
        <w:tblW w:type="auto" w:w="0"/>
        <w:tblLook w:firstColumn="1" w:firstRow="1" w:lastColumn="0" w:lastRow="0" w:noHBand="0" w:noVBand="1" w:val="04A0"/>
      </w:tblPr>
      <w:tblGrid>
        <w:gridCol w:w="2500"/>
        <w:gridCol w:w="1500"/>
        <w:gridCol w:w="53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Phase</w:t>
            </w:r>
          </w:p>
        </w:tc>
        <w:tc>
          <w:tcPr>
            <w:tcW w:type="dxa" w:w="1500"/>
            <w:shd w:val="clear" w:color="auto" w:fill="1565C0"/>
            <w:tcMar>
              <w:top w:w="60" w:type="dxa"/>
              <w:bottom w:w="60" w:type="dxa"/>
              <w:left w:w="80" w:type="dxa"/>
              <w:right w:w="80" w:type="dxa"/>
            </w:tcMar>
            <w:vAlign w:val="center"/>
          </w:tcPr>
          <w:p>
            <w:r/>
            <w:r>
              <w:rPr>
                <w:rFonts w:ascii="Calibri" w:hAnsi="Calibri"/>
                <w:b/>
                <w:color w:val="FFFFFF"/>
                <w:sz w:val="19"/>
              </w:rPr>
              <w:t>Status</w:t>
            </w:r>
          </w:p>
        </w:tc>
        <w:tc>
          <w:tcPr>
            <w:tcW w:type="dxa" w:w="5300"/>
            <w:shd w:val="clear" w:color="auto" w:fill="1565C0"/>
            <w:tcMar>
              <w:top w:w="60" w:type="dxa"/>
              <w:bottom w:w="60" w:type="dxa"/>
              <w:left w:w="80" w:type="dxa"/>
              <w:right w:w="80" w:type="dxa"/>
            </w:tcMar>
            <w:vAlign w:val="center"/>
          </w:tcPr>
          <w:p>
            <w:r/>
            <w:r>
              <w:rPr>
                <w:rFonts w:ascii="Calibri" w:hAnsi="Calibri"/>
                <w:b/>
                <w:color w:val="FFFFFF"/>
                <w:sz w:val="19"/>
              </w:rPr>
              <w:t>Details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sz w:val="19"/>
              </w:rPr>
              <w:t>Phase 1 — QR Codes</w:t>
            </w:r>
          </w:p>
        </w:tc>
        <w:tc>
          <w:tcPr>
            <w:tcW w:type="dxa" w:w="1500"/>
            <w:shd w:val="clear" w:color="auto" w:fill="FFFFFF"/>
            <w:tcMar>
              <w:top w:w="60" w:type="dxa"/>
              <w:bottom w:w="60" w:type="dxa"/>
              <w:left w:w="80" w:type="dxa"/>
              <w:right w:w="80" w:type="dxa"/>
            </w:tcMar>
            <w:vAlign w:val="center"/>
          </w:tcPr>
          <w:p>
            <w:pPr>
              <w:jc w:val="left"/>
            </w:pPr>
            <w:r/>
            <w:r>
              <w:rPr>
                <w:rFonts w:ascii="Calibri" w:hAnsi="Calibri"/>
                <w:b w:val="0"/>
                <w:sz w:val="19"/>
              </w:rPr>
              <w:t>LIVE</w:t>
            </w:r>
          </w:p>
        </w:tc>
        <w:tc>
          <w:tcPr>
            <w:tcW w:type="dxa" w:w="5300"/>
            <w:shd w:val="clear" w:color="auto" w:fill="FFFFFF"/>
            <w:tcMar>
              <w:top w:w="60" w:type="dxa"/>
              <w:bottom w:w="60" w:type="dxa"/>
              <w:left w:w="80" w:type="dxa"/>
              <w:right w:w="80" w:type="dxa"/>
            </w:tcMar>
            <w:vAlign w:val="center"/>
          </w:tcPr>
          <w:p>
            <w:pPr>
              <w:jc w:val="left"/>
            </w:pPr>
            <w:r/>
            <w:r>
              <w:rPr>
                <w:rFonts w:ascii="Calibri" w:hAnsi="Calibri"/>
                <w:b w:val="0"/>
                <w:sz w:val="19"/>
              </w:rPr>
              <w:t>TLV Base64 QR: Seller | VAT# | DateTime | Total (incl. VAT) | VAT Amount. Shared VAT# all 3 entities.</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sz w:val="19"/>
              </w:rPr>
              <w:t>Phase 2 — Clearance</w:t>
            </w:r>
          </w:p>
        </w:tc>
        <w:tc>
          <w:tcPr>
            <w:tcW w:type="dxa" w:w="1500"/>
            <w:shd w:val="clear" w:color="auto" w:fill="F5F7FA"/>
            <w:tcMar>
              <w:top w:w="60" w:type="dxa"/>
              <w:bottom w:w="60" w:type="dxa"/>
              <w:left w:w="80" w:type="dxa"/>
              <w:right w:w="80" w:type="dxa"/>
            </w:tcMar>
            <w:vAlign w:val="center"/>
          </w:tcPr>
          <w:p>
            <w:pPr>
              <w:jc w:val="left"/>
            </w:pPr>
            <w:r/>
            <w:r>
              <w:rPr>
                <w:rFonts w:ascii="Calibri" w:hAnsi="Calibri"/>
                <w:b w:val="0"/>
                <w:sz w:val="19"/>
              </w:rPr>
              <w:t>Post Go-Live</w:t>
            </w:r>
          </w:p>
        </w:tc>
        <w:tc>
          <w:tcPr>
            <w:tcW w:type="dxa" w:w="5300"/>
            <w:shd w:val="clear" w:color="auto" w:fill="F5F7FA"/>
            <w:tcMar>
              <w:top w:w="60" w:type="dxa"/>
              <w:bottom w:w="60" w:type="dxa"/>
              <w:left w:w="80" w:type="dxa"/>
              <w:right w:w="80" w:type="dxa"/>
            </w:tcMar>
            <w:vAlign w:val="center"/>
          </w:tcPr>
          <w:p>
            <w:pPr>
              <w:jc w:val="left"/>
            </w:pPr>
            <w:r/>
            <w:r>
              <w:rPr>
                <w:rFonts w:ascii="Calibri" w:hAnsi="Calibri"/>
                <w:b w:val="0"/>
                <w:sz w:val="19"/>
              </w:rPr>
              <w:t>Real-time ZATCA API. Currently ENZAPPs. Migrate after stabilisation.</w:t>
            </w:r>
          </w:p>
        </w:tc>
      </w:tr>
    </w:tbl>
    <w:p>
      <w:pPr>
        <w:spacing w:before="60" w:after="60"/>
      </w:pPr>
    </w:p>
    <w:p>
      <w:pPr>
        <w:spacing w:before="40" w:after="60"/>
      </w:pPr>
      <w:r>
        <w:rPr>
          <w:rFonts w:ascii="Calibri" w:hAnsi="Calibri"/>
          <w:i w:val="0"/>
          <w:sz w:val="20"/>
        </w:rPr>
        <w:t>Types: TAX INVOICE | SIMPLIFIED TAX INVOICE | CREDIT NOTE</w:t>
      </w:r>
    </w:p>
    <w:p>
      <w:pPr>
        <w:pStyle w:val="Heading1"/>
        <w:spacing w:before="320" w:after="120"/>
        <w:pBdr>
          <w:bottom w:val="single" w:sz="6" w:space="4" w:color="1565C0"/>
        </w:pBdr>
      </w:pPr>
      <w:r>
        <w:rPr>
          <w:rFonts w:ascii="Calibri" w:hAnsi="Calibri"/>
          <w:b/>
          <w:color w:val="1565C0"/>
          <w:sz w:val="28"/>
        </w:rPr>
        <w:t>Section 15 — Compliance Alerts</w:t>
      </w:r>
    </w:p>
    <w:tbl>
      <w:tblPr>
        <w:tblStyle w:val="TableGrid"/>
        <w:tblW w:type="auto" w:w="0"/>
        <w:tblLook w:firstColumn="1" w:firstRow="1" w:lastColumn="0" w:lastRow="0" w:noHBand="0" w:noVBand="1" w:val="04A0"/>
      </w:tblPr>
      <w:tblGrid>
        <w:gridCol w:w="1800"/>
        <w:gridCol w:w="2800"/>
        <w:gridCol w:w="1800"/>
        <w:gridCol w:w="29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Category</w:t>
            </w:r>
          </w:p>
        </w:tc>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Document</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Alert Window</w:t>
            </w:r>
          </w:p>
        </w:tc>
        <w:tc>
          <w:tcPr>
            <w:tcW w:type="dxa" w:w="2900"/>
            <w:shd w:val="clear" w:color="auto" w:fill="1565C0"/>
            <w:tcMar>
              <w:top w:w="60" w:type="dxa"/>
              <w:bottom w:w="60" w:type="dxa"/>
              <w:left w:w="80" w:type="dxa"/>
              <w:right w:w="80" w:type="dxa"/>
            </w:tcMar>
            <w:vAlign w:val="center"/>
          </w:tcPr>
          <w:p>
            <w:r/>
            <w:r>
              <w:rPr>
                <w:rFonts w:ascii="Calibri" w:hAnsi="Calibri"/>
                <w:b/>
                <w:color w:val="FFFFFF"/>
                <w:sz w:val="19"/>
              </w:rPr>
              <w:t>Visible To</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Employee</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Iqama / National ID</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30 days</w:t>
            </w:r>
          </w:p>
        </w:tc>
        <w:tc>
          <w:tcPr>
            <w:tcW w:type="dxa" w:w="2900"/>
            <w:shd w:val="clear" w:color="auto" w:fill="FFFFFF"/>
            <w:tcMar>
              <w:top w:w="60" w:type="dxa"/>
              <w:bottom w:w="60" w:type="dxa"/>
              <w:left w:w="80" w:type="dxa"/>
              <w:right w:w="80" w:type="dxa"/>
            </w:tcMar>
            <w:vAlign w:val="center"/>
          </w:tcPr>
          <w:p>
            <w:pPr>
              <w:jc w:val="left"/>
            </w:pPr>
            <w:r/>
            <w:r>
              <w:rPr>
                <w:rFonts w:ascii="Calibri" w:hAnsi="Calibri"/>
                <w:b w:val="0"/>
                <w:sz w:val="19"/>
              </w:rPr>
              <w:t>Admin + Accounts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Employee</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Passport</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60 days</w:t>
            </w:r>
          </w:p>
        </w:tc>
        <w:tc>
          <w:tcPr>
            <w:tcW w:type="dxa" w:w="2900"/>
            <w:shd w:val="clear" w:color="auto" w:fill="F5F7FA"/>
            <w:tcMar>
              <w:top w:w="60" w:type="dxa"/>
              <w:bottom w:w="60" w:type="dxa"/>
              <w:left w:w="80" w:type="dxa"/>
              <w:right w:w="80" w:type="dxa"/>
            </w:tcMar>
            <w:vAlign w:val="center"/>
          </w:tcPr>
          <w:p>
            <w:pPr>
              <w:jc w:val="left"/>
            </w:pPr>
            <w:r/>
            <w:r>
              <w:rPr>
                <w:rFonts w:ascii="Calibri" w:hAnsi="Calibri"/>
                <w:b w:val="0"/>
                <w:sz w:val="19"/>
              </w:rPr>
              <w:t>Admin + Accounts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Employee</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Health Insurance</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30 days</w:t>
            </w:r>
          </w:p>
        </w:tc>
        <w:tc>
          <w:tcPr>
            <w:tcW w:type="dxa" w:w="2900"/>
            <w:shd w:val="clear" w:color="auto" w:fill="FFFFFF"/>
            <w:tcMar>
              <w:top w:w="60" w:type="dxa"/>
              <w:bottom w:w="60" w:type="dxa"/>
              <w:left w:w="80" w:type="dxa"/>
              <w:right w:w="80" w:type="dxa"/>
            </w:tcMar>
            <w:vAlign w:val="center"/>
          </w:tcPr>
          <w:p>
            <w:pPr>
              <w:jc w:val="left"/>
            </w:pPr>
            <w:r/>
            <w:r>
              <w:rPr>
                <w:rFonts w:ascii="Calibri" w:hAnsi="Calibri"/>
                <w:b w:val="0"/>
                <w:sz w:val="19"/>
              </w:rPr>
              <w:t>Admin + Accounts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Employee</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QIWA Validity</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30 days</w:t>
            </w:r>
          </w:p>
        </w:tc>
        <w:tc>
          <w:tcPr>
            <w:tcW w:type="dxa" w:w="2900"/>
            <w:shd w:val="clear" w:color="auto" w:fill="F5F7FA"/>
            <w:tcMar>
              <w:top w:w="60" w:type="dxa"/>
              <w:bottom w:w="60" w:type="dxa"/>
              <w:left w:w="80" w:type="dxa"/>
              <w:right w:w="80" w:type="dxa"/>
            </w:tcMar>
            <w:vAlign w:val="center"/>
          </w:tcPr>
          <w:p>
            <w:pPr>
              <w:jc w:val="left"/>
            </w:pPr>
            <w:r/>
            <w:r>
              <w:rPr>
                <w:rFonts w:ascii="Calibri" w:hAnsi="Calibri"/>
                <w:b w:val="0"/>
                <w:sz w:val="19"/>
              </w:rPr>
              <w:t>Admin + Accounts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Employee</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SCE Certificate</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60 days</w:t>
            </w:r>
          </w:p>
        </w:tc>
        <w:tc>
          <w:tcPr>
            <w:tcW w:type="dxa" w:w="2900"/>
            <w:shd w:val="clear" w:color="auto" w:fill="FFFFFF"/>
            <w:tcMar>
              <w:top w:w="60" w:type="dxa"/>
              <w:bottom w:w="60" w:type="dxa"/>
              <w:left w:w="80" w:type="dxa"/>
              <w:right w:w="80" w:type="dxa"/>
            </w:tcMar>
            <w:vAlign w:val="center"/>
          </w:tcPr>
          <w:p>
            <w:pPr>
              <w:jc w:val="left"/>
            </w:pPr>
            <w:r/>
            <w:r>
              <w:rPr>
                <w:rFonts w:ascii="Calibri" w:hAnsi="Calibri"/>
                <w:b w:val="0"/>
                <w:sz w:val="19"/>
              </w:rPr>
              <w:t>Admin</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Vehicle</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Insurance / MVPI / Registration</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30 days</w:t>
            </w:r>
          </w:p>
        </w:tc>
        <w:tc>
          <w:tcPr>
            <w:tcW w:type="dxa" w:w="2900"/>
            <w:shd w:val="clear" w:color="auto" w:fill="F5F7FA"/>
            <w:tcMar>
              <w:top w:w="60" w:type="dxa"/>
              <w:bottom w:w="60" w:type="dxa"/>
              <w:left w:w="80" w:type="dxa"/>
              <w:right w:w="80" w:type="dxa"/>
            </w:tcMar>
            <w:vAlign w:val="center"/>
          </w:tcPr>
          <w:p>
            <w:pPr>
              <w:jc w:val="left"/>
            </w:pPr>
            <w:r/>
            <w:r>
              <w:rPr>
                <w:rFonts w:ascii="Calibri" w:hAnsi="Calibri"/>
                <w:b w:val="0"/>
                <w:sz w:val="19"/>
              </w:rPr>
              <w:t>Admin + Accounts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Company</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CR | GOSI | Municipality | Baladiya | CITC | Ministry</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30–60 days</w:t>
            </w:r>
          </w:p>
        </w:tc>
        <w:tc>
          <w:tcPr>
            <w:tcW w:type="dxa" w:w="2900"/>
            <w:shd w:val="clear" w:color="auto" w:fill="FFFFFF"/>
            <w:tcMar>
              <w:top w:w="60" w:type="dxa"/>
              <w:bottom w:w="60" w:type="dxa"/>
              <w:left w:w="80" w:type="dxa"/>
              <w:right w:w="80" w:type="dxa"/>
            </w:tcMar>
            <w:vAlign w:val="center"/>
          </w:tcPr>
          <w:p>
            <w:pPr>
              <w:jc w:val="left"/>
            </w:pPr>
            <w:r/>
            <w:r>
              <w:rPr>
                <w:rFonts w:ascii="Calibri" w:hAnsi="Calibri"/>
                <w:b w:val="0"/>
                <w:sz w:val="19"/>
              </w:rPr>
              <w:t>Admin + Accounts</w:t>
            </w:r>
          </w:p>
        </w:tc>
      </w:tr>
    </w:tbl>
    <w:p>
      <w:pPr>
        <w:spacing w:before="60" w:after="60"/>
      </w:pPr>
    </w:p>
    <w:p>
      <w:pPr>
        <w:pStyle w:val="Heading1"/>
        <w:spacing w:before="320" w:after="120"/>
        <w:pBdr>
          <w:bottom w:val="single" w:sz="6" w:space="4" w:color="1565C0"/>
        </w:pBdr>
      </w:pPr>
      <w:r>
        <w:rPr>
          <w:rFonts w:ascii="Calibri" w:hAnsi="Calibri"/>
          <w:b/>
          <w:color w:val="1565C0"/>
          <w:sz w:val="28"/>
        </w:rPr>
        <w:t>Section 16 — Telegram Notifications</w:t>
      </w:r>
    </w:p>
    <w:p>
      <w:pPr>
        <w:spacing w:before="40" w:after="60"/>
      </w:pPr>
      <w:r>
        <w:rPr>
          <w:rFonts w:ascii="Calibri" w:hAnsi="Calibri"/>
          <w:i w:val="0"/>
          <w:sz w:val="20"/>
        </w:rPr>
        <w:t>Bot: @RatalGroupBot. Token in Supabase Vault. Employee activates once by messaging bot. Chat ID stored in Employee DB.</w:t>
      </w:r>
    </w:p>
    <w:tbl>
      <w:tblPr>
        <w:tblStyle w:val="TableGrid"/>
        <w:tblW w:type="auto" w:w="0"/>
        <w:tblLook w:firstColumn="1" w:firstRow="1" w:lastColumn="0" w:lastRow="0" w:noHBand="0" w:noVBand="1" w:val="04A0"/>
      </w:tblPr>
      <w:tblGrid>
        <w:gridCol w:w="4500"/>
        <w:gridCol w:w="4800"/>
      </w:tblGrid>
      <w:tr>
        <w:tc>
          <w:tcPr>
            <w:tcW w:type="dxa" w:w="4500"/>
            <w:shd w:val="clear" w:color="auto" w:fill="1565C0"/>
            <w:tcMar>
              <w:top w:w="60" w:type="dxa"/>
              <w:bottom w:w="60" w:type="dxa"/>
              <w:left w:w="80" w:type="dxa"/>
              <w:right w:w="80" w:type="dxa"/>
            </w:tcMar>
            <w:vAlign w:val="center"/>
          </w:tcPr>
          <w:p>
            <w:r/>
            <w:r>
              <w:rPr>
                <w:rFonts w:ascii="Calibri" w:hAnsi="Calibri"/>
                <w:b/>
                <w:color w:val="FFFFFF"/>
                <w:sz w:val="19"/>
              </w:rPr>
              <w:t>Trigger</w:t>
            </w:r>
          </w:p>
        </w:tc>
        <w:tc>
          <w:tcPr>
            <w:tcW w:type="dxa" w:w="4800"/>
            <w:shd w:val="clear" w:color="auto" w:fill="1565C0"/>
            <w:tcMar>
              <w:top w:w="60" w:type="dxa"/>
              <w:bottom w:w="60" w:type="dxa"/>
              <w:left w:w="80" w:type="dxa"/>
              <w:right w:w="80" w:type="dxa"/>
            </w:tcMar>
            <w:vAlign w:val="center"/>
          </w:tcPr>
          <w:p>
            <w:r/>
            <w:r>
              <w:rPr>
                <w:rFonts w:ascii="Calibri" w:hAnsi="Calibri"/>
                <w:b/>
                <w:color w:val="FFFFFF"/>
                <w:sz w:val="19"/>
              </w:rPr>
              <w:t>Recipients</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Expense / Food / OT submitted</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 Employee (acknowledgement)</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Car Maintenance submitted</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 Department Head</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Money Request raised / approved / rejected</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 Dept Head | Accounts | Requestor (as applicable)</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Funds sent to ANB-77 / ANB-39</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 Dept Head (RECEIVING prompt)</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Job COMPLETED by DH</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 Accounts (invoice ready)</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Payroll processed / Bank transfer completed</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 Each employee</w:t>
            </w:r>
          </w:p>
        </w:tc>
      </w:tr>
      <w:tr>
        <w:tc>
          <w:tcPr>
            <w:tcW w:type="dxa" w:w="4500"/>
            <w:shd w:val="clear" w:color="auto" w:fill="FFFFFF"/>
            <w:tcMar>
              <w:top w:w="60" w:type="dxa"/>
              <w:bottom w:w="60" w:type="dxa"/>
              <w:left w:w="80" w:type="dxa"/>
              <w:right w:w="80" w:type="dxa"/>
            </w:tcMar>
            <w:vAlign w:val="center"/>
          </w:tcPr>
          <w:p>
            <w:pPr>
              <w:jc w:val="left"/>
            </w:pPr>
            <w:r/>
            <w:r>
              <w:rPr>
                <w:rFonts w:ascii="Calibri" w:hAnsi="Calibri"/>
                <w:b w:val="0"/>
                <w:sz w:val="19"/>
              </w:rPr>
              <w:t>Loan EMI due (1 week before)</w:t>
            </w:r>
          </w:p>
        </w:tc>
        <w:tc>
          <w:tcPr>
            <w:tcW w:type="dxa" w:w="4800"/>
            <w:shd w:val="clear" w:color="auto" w:fill="FFFFFF"/>
            <w:tcMar>
              <w:top w:w="60" w:type="dxa"/>
              <w:bottom w:w="60" w:type="dxa"/>
              <w:left w:w="80" w:type="dxa"/>
              <w:right w:w="80" w:type="dxa"/>
            </w:tcMar>
            <w:vAlign w:val="center"/>
          </w:tcPr>
          <w:p>
            <w:pPr>
              <w:jc w:val="left"/>
            </w:pPr>
            <w:r/>
            <w:r>
              <w:rPr>
                <w:rFonts w:ascii="Calibri" w:hAnsi="Calibri"/>
                <w:b w:val="0"/>
                <w:sz w:val="19"/>
              </w:rPr>
              <w:t>→ Employee</w:t>
            </w:r>
          </w:p>
        </w:tc>
      </w:tr>
      <w:tr>
        <w:tc>
          <w:tcPr>
            <w:tcW w:type="dxa" w:w="4500"/>
            <w:shd w:val="clear" w:color="auto" w:fill="F5F7FA"/>
            <w:tcMar>
              <w:top w:w="60" w:type="dxa"/>
              <w:bottom w:w="60" w:type="dxa"/>
              <w:left w:w="80" w:type="dxa"/>
              <w:right w:w="80" w:type="dxa"/>
            </w:tcMar>
            <w:vAlign w:val="center"/>
          </w:tcPr>
          <w:p>
            <w:pPr>
              <w:jc w:val="left"/>
            </w:pPr>
            <w:r/>
            <w:r>
              <w:rPr>
                <w:rFonts w:ascii="Calibri" w:hAnsi="Calibri"/>
                <w:b w:val="0"/>
                <w:sz w:val="19"/>
              </w:rPr>
              <w:t>Compliance alert triggered</w:t>
            </w:r>
          </w:p>
        </w:tc>
        <w:tc>
          <w:tcPr>
            <w:tcW w:type="dxa" w:w="4800"/>
            <w:shd w:val="clear" w:color="auto" w:fill="F5F7FA"/>
            <w:tcMar>
              <w:top w:w="60" w:type="dxa"/>
              <w:bottom w:w="60" w:type="dxa"/>
              <w:left w:w="80" w:type="dxa"/>
              <w:right w:w="80" w:type="dxa"/>
            </w:tcMar>
            <w:vAlign w:val="center"/>
          </w:tcPr>
          <w:p>
            <w:pPr>
              <w:jc w:val="left"/>
            </w:pPr>
            <w:r/>
            <w:r>
              <w:rPr>
                <w:rFonts w:ascii="Calibri" w:hAnsi="Calibri"/>
                <w:b w:val="0"/>
                <w:sz w:val="19"/>
              </w:rPr>
              <w:t>→ Admin</w:t>
            </w:r>
          </w:p>
        </w:tc>
      </w:tr>
    </w:tbl>
    <w:p>
      <w:pPr>
        <w:spacing w:before="60" w:after="60"/>
      </w:pPr>
    </w:p>
    <w:p>
      <w:pPr>
        <w:pStyle w:val="Heading1"/>
        <w:spacing w:before="320" w:after="120"/>
        <w:pBdr>
          <w:bottom w:val="single" w:sz="6" w:space="4" w:color="1565C0"/>
        </w:pBdr>
      </w:pPr>
      <w:r>
        <w:rPr>
          <w:rFonts w:ascii="Calibri" w:hAnsi="Calibri"/>
          <w:b/>
          <w:color w:val="1565C0"/>
          <w:sz w:val="28"/>
        </w:rPr>
        <w:t>Section 17 — Car Management</w:t>
      </w:r>
    </w:p>
    <w:p>
      <w:pPr>
        <w:spacing w:before="40" w:after="60"/>
      </w:pPr>
      <w:r>
        <w:rPr>
          <w:rFonts w:ascii="Calibri" w:hAnsi="Calibri"/>
          <w:i w:val="0"/>
          <w:sz w:val="20"/>
        </w:rPr>
        <w:t>Car DB: CarID | PlateNumber | Make | Model | Year | Color | Department | AssignedToEmployeeID | RegistrationExpiry | InsuranceExpiry | MVPIExpiry | Status (ACTIVE / WORKSHOP / RETURNED / WRITTEN_OFF). Fuel tracked via Expense form + Car# auto-link.</w:t>
      </w:r>
    </w:p>
    <w:p>
      <w:pPr>
        <w:pStyle w:val="Heading1"/>
        <w:spacing w:before="320" w:after="120"/>
        <w:pBdr>
          <w:bottom w:val="single" w:sz="6" w:space="4" w:color="1565C0"/>
        </w:pBdr>
      </w:pPr>
      <w:r>
        <w:rPr>
          <w:rFonts w:ascii="Calibri" w:hAnsi="Calibri"/>
          <w:b/>
          <w:color w:val="1565C0"/>
          <w:sz w:val="28"/>
        </w:rPr>
        <w:t>Section 18 — Bank Accounts</w:t>
      </w:r>
    </w:p>
    <w:tbl>
      <w:tblPr>
        <w:tblStyle w:val="TableGrid"/>
        <w:tblW w:type="auto" w:w="0"/>
        <w:tblLook w:firstColumn="1" w:firstRow="1" w:lastColumn="0" w:lastRow="0" w:noHBand="0" w:noVBand="1" w:val="04A0"/>
      </w:tblPr>
      <w:tblGrid>
        <w:gridCol w:w="1800"/>
        <w:gridCol w:w="1600"/>
        <w:gridCol w:w="5900"/>
      </w:tblGrid>
      <w:tr>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Account</w:t>
            </w:r>
          </w:p>
        </w:tc>
        <w:tc>
          <w:tcPr>
            <w:tcW w:type="dxa" w:w="1600"/>
            <w:shd w:val="clear" w:color="auto" w:fill="1565C0"/>
            <w:tcMar>
              <w:top w:w="60" w:type="dxa"/>
              <w:bottom w:w="60" w:type="dxa"/>
              <w:left w:w="80" w:type="dxa"/>
              <w:right w:w="80" w:type="dxa"/>
            </w:tcMar>
            <w:vAlign w:val="center"/>
          </w:tcPr>
          <w:p>
            <w:r/>
            <w:r>
              <w:rPr>
                <w:rFonts w:ascii="Calibri" w:hAnsi="Calibri"/>
                <w:b/>
                <w:color w:val="FFFFFF"/>
                <w:sz w:val="19"/>
              </w:rPr>
              <w:t>Entity</w:t>
            </w:r>
          </w:p>
        </w:tc>
        <w:tc>
          <w:tcPr>
            <w:tcW w:type="dxa" w:w="5900"/>
            <w:shd w:val="clear" w:color="auto" w:fill="1565C0"/>
            <w:tcMar>
              <w:top w:w="60" w:type="dxa"/>
              <w:bottom w:w="60" w:type="dxa"/>
              <w:left w:w="80" w:type="dxa"/>
              <w:right w:w="80" w:type="dxa"/>
            </w:tcMar>
            <w:vAlign w:val="center"/>
          </w:tcPr>
          <w:p>
            <w:r/>
            <w:r>
              <w:rPr>
                <w:rFonts w:ascii="Calibri" w:hAnsi="Calibri"/>
                <w:b/>
                <w:color w:val="FFFFFF"/>
                <w:sz w:val="19"/>
              </w:rPr>
              <w:t>Purpose</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ANB-18</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ALL</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Common salary account — WPS Bank Portion transfers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ANB-15</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ACCSYS</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Main operating: customer receipts + operations payments</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ANB-77</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ACCSYS</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TISU operations (funded from ANB-15)</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ANB-39</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ACCSYS</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NISU / ITSU / CISU shared operations (from ANB-15)</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ANB-29</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RAT</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Cash salary + cash payments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ANB-13</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RAT</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Incoming receipts + Overdraft (SAR 1M limit)</w:t>
            </w:r>
          </w:p>
        </w:tc>
      </w:tr>
      <w:tr>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ANB-11</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GWT</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All GWT transactions</w:t>
            </w:r>
          </w:p>
        </w:tc>
      </w:tr>
      <w:tr>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CASH-001</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ACCSYS</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Main Petty Cash</w:t>
            </w:r>
          </w:p>
        </w:tc>
      </w:tr>
    </w:tbl>
    <w:p>
      <w:pPr>
        <w:spacing w:before="60" w:after="60"/>
      </w:pPr>
    </w:p>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19 — Dashboards (All Entities — Role-Based)</w:t>
      </w:r>
    </w:p>
    <w:p>
      <w:pPr>
        <w:pBdr>
          <w:left w:val="thick" w:sz="12" w:space="8" w:color="1565C0"/>
        </w:pBdr>
        <w:ind w:left="360"/>
        <w:spacing w:before="60" w:after="60"/>
      </w:pPr>
      <w:r>
        <w:rPr>
          <w:rFonts w:ascii="Calibri" w:hAnsi="Calibri"/>
          <w:color w:val="1565C0"/>
          <w:sz w:val="19"/>
        </w:rPr>
        <w:t>User sees ONLY data their role and entity permit. KPI cards clickable → drill-down. Supabase realtime subscriptions.</w:t>
      </w:r>
    </w:p>
    <w:p>
      <w:pPr>
        <w:pStyle w:val="Heading2"/>
        <w:spacing w:before="240" w:after="80"/>
      </w:pPr>
      <w:r>
        <w:rPr>
          <w:rFonts w:ascii="Calibri" w:hAnsi="Calibri"/>
          <w:b/>
          <w:color w:val="1A2E3D"/>
          <w:sz w:val="24"/>
        </w:rPr>
        <w:t>19.1  RAT Dashboard (Blue #1565C0)</w:t>
      </w:r>
    </w:p>
    <w:tbl>
      <w:tblPr>
        <w:tblStyle w:val="TableGrid"/>
        <w:tblW w:type="auto" w:w="0"/>
        <w:tblLook w:firstColumn="1" w:firstRow="1" w:lastColumn="0" w:lastRow="0" w:noHBand="0" w:noVBand="1" w:val="04A0"/>
      </w:tblPr>
      <w:tblGrid>
        <w:gridCol w:w="2500"/>
        <w:gridCol w:w="68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Group</w:t>
            </w:r>
          </w:p>
        </w:tc>
        <w:tc>
          <w:tcPr>
            <w:tcW w:type="dxa" w:w="6800"/>
            <w:shd w:val="clear" w:color="auto" w:fill="1565C0"/>
            <w:tcMar>
              <w:top w:w="60" w:type="dxa"/>
              <w:bottom w:w="60" w:type="dxa"/>
              <w:left w:w="80" w:type="dxa"/>
              <w:right w:w="80" w:type="dxa"/>
            </w:tcMar>
            <w:vAlign w:val="center"/>
          </w:tcPr>
          <w:p>
            <w:r/>
            <w:r>
              <w:rPr>
                <w:rFonts w:ascii="Calibri" w:hAnsi="Calibri"/>
                <w:b/>
                <w:color w:val="FFFFFF"/>
                <w:sz w:val="19"/>
              </w:rPr>
              <w:t>KPI Cards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A — Today</w:t>
            </w:r>
          </w:p>
        </w:tc>
        <w:tc>
          <w:tcPr>
            <w:tcW w:type="dxa" w:w="6800"/>
            <w:shd w:val="clear" w:color="auto" w:fill="FFFFFF"/>
            <w:tcMar>
              <w:top w:w="60" w:type="dxa"/>
              <w:bottom w:w="60" w:type="dxa"/>
              <w:left w:w="80" w:type="dxa"/>
              <w:right w:w="80" w:type="dxa"/>
            </w:tcMar>
            <w:vAlign w:val="center"/>
          </w:tcPr>
          <w:p>
            <w:pPr>
              <w:jc w:val="left"/>
            </w:pPr>
            <w:r/>
            <w:r>
              <w:rPr>
                <w:rFonts w:ascii="Calibri" w:hAnsi="Calibri"/>
                <w:b w:val="0"/>
                <w:sz w:val="19"/>
              </w:rPr>
              <w:t>Tickets Issued Today | Fares Collected Today | Commission Earned Today | Agents Active Today</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B — Monthly</w:t>
            </w:r>
          </w:p>
        </w:tc>
        <w:tc>
          <w:tcPr>
            <w:tcW w:type="dxa" w:w="6800"/>
            <w:shd w:val="clear" w:color="auto" w:fill="F5F7FA"/>
            <w:tcMar>
              <w:top w:w="60" w:type="dxa"/>
              <w:bottom w:w="60" w:type="dxa"/>
              <w:left w:w="80" w:type="dxa"/>
              <w:right w:w="80" w:type="dxa"/>
            </w:tcMar>
            <w:vAlign w:val="center"/>
          </w:tcPr>
          <w:p>
            <w:pPr>
              <w:jc w:val="left"/>
            </w:pPr>
            <w:r/>
            <w:r>
              <w:rPr>
                <w:rFonts w:ascii="Calibri" w:hAnsi="Calibri"/>
                <w:b w:val="0"/>
                <w:sz w:val="19"/>
              </w:rPr>
              <w:t>Tickets This Month (vs last month %) | Total Fares | Commission | VAT Collected | BSP Net Remittance Pending</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C — Outstanding</w:t>
            </w:r>
          </w:p>
        </w:tc>
        <w:tc>
          <w:tcPr>
            <w:tcW w:type="dxa" w:w="6800"/>
            <w:shd w:val="clear" w:color="auto" w:fill="FFFFFF"/>
            <w:tcMar>
              <w:top w:w="60" w:type="dxa"/>
              <w:bottom w:w="60" w:type="dxa"/>
              <w:left w:w="80" w:type="dxa"/>
              <w:right w:w="80" w:type="dxa"/>
            </w:tcMar>
            <w:vAlign w:val="center"/>
          </w:tcPr>
          <w:p>
            <w:pPr>
              <w:jc w:val="left"/>
            </w:pPr>
            <w:r/>
            <w:r>
              <w:rPr>
                <w:rFonts w:ascii="Calibri" w:hAnsi="Calibri"/>
                <w:b w:val="0"/>
                <w:sz w:val="19"/>
              </w:rPr>
              <w:t>Customer Outstanding | Credit Customers Overdue | Refunds Pending</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D — Alerts</w:t>
            </w:r>
          </w:p>
        </w:tc>
        <w:tc>
          <w:tcPr>
            <w:tcW w:type="dxa" w:w="6800"/>
            <w:shd w:val="clear" w:color="auto" w:fill="F5F7FA"/>
            <w:tcMar>
              <w:top w:w="60" w:type="dxa"/>
              <w:bottom w:w="60" w:type="dxa"/>
              <w:left w:w="80" w:type="dxa"/>
              <w:right w:w="80" w:type="dxa"/>
            </w:tcMar>
            <w:vAlign w:val="center"/>
          </w:tcPr>
          <w:p>
            <w:pPr>
              <w:jc w:val="left"/>
            </w:pPr>
            <w:r/>
            <w:r>
              <w:rPr>
                <w:rFonts w:ascii="Calibri" w:hAnsi="Calibri"/>
                <w:b w:val="0"/>
                <w:sz w:val="19"/>
              </w:rPr>
              <w:t>Compliance Expiring | Engagement Today | Cash Balance (ANB-29/ANB-13)</w:t>
            </w:r>
          </w:p>
        </w:tc>
      </w:tr>
    </w:tbl>
    <w:p>
      <w:pPr>
        <w:spacing w:before="60" w:after="60"/>
      </w:pPr>
    </w:p>
    <w:p>
      <w:pPr>
        <w:spacing w:before="40" w:after="60"/>
      </w:pPr>
      <w:r>
        <w:rPr>
          <w:rFonts w:ascii="Calibri" w:hAnsi="Calibri"/>
          <w:i w:val="0"/>
          <w:sz w:val="20"/>
        </w:rPr>
        <w:t>Travel Agent restricted view: own tickets/fares/commission only. No financials. No other agent data.</w:t>
      </w:r>
    </w:p>
    <w:p>
      <w:pPr>
        <w:pStyle w:val="Heading2"/>
        <w:spacing w:before="240" w:after="80"/>
      </w:pPr>
      <w:r>
        <w:rPr>
          <w:rFonts w:ascii="Calibri" w:hAnsi="Calibri"/>
          <w:b/>
          <w:color w:val="1A2E3D"/>
          <w:sz w:val="24"/>
        </w:rPr>
        <w:t>19.2  GWT Dashboard (Green #2E7D32)</w:t>
      </w:r>
    </w:p>
    <w:p>
      <w:pPr>
        <w:spacing w:before="40" w:after="60"/>
      </w:pPr>
      <w:r>
        <w:rPr>
          <w:rFonts w:ascii="Calibri" w:hAnsi="Calibri"/>
          <w:i w:val="0"/>
          <w:sz w:val="20"/>
        </w:rPr>
        <w:t>Same structure as RAT with GWT entity filter. Bank balance shows ANB-11.</w:t>
      </w:r>
    </w:p>
    <w:p>
      <w:pPr>
        <w:pStyle w:val="Heading2"/>
        <w:spacing w:before="240" w:after="80"/>
      </w:pPr>
      <w:r>
        <w:rPr>
          <w:rFonts w:ascii="Calibri" w:hAnsi="Calibri"/>
          <w:b/>
          <w:color w:val="1A2E3D"/>
          <w:sz w:val="24"/>
        </w:rPr>
        <w:t>19.3  ACCSYS Dashboard (Purple #5A32D4)</w:t>
      </w:r>
    </w:p>
    <w:tbl>
      <w:tblPr>
        <w:tblStyle w:val="TableGrid"/>
        <w:tblW w:type="auto" w:w="0"/>
        <w:tblLook w:firstColumn="1" w:firstRow="1" w:lastColumn="0" w:lastRow="0" w:noHBand="0" w:noVBand="1" w:val="04A0"/>
      </w:tblPr>
      <w:tblGrid>
        <w:gridCol w:w="2500"/>
        <w:gridCol w:w="4000"/>
        <w:gridCol w:w="1500"/>
        <w:gridCol w:w="13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Group</w:t>
            </w:r>
          </w:p>
        </w:tc>
        <w:tc>
          <w:tcPr>
            <w:tcW w:type="dxa" w:w="4000"/>
            <w:shd w:val="clear" w:color="auto" w:fill="1565C0"/>
            <w:tcMar>
              <w:top w:w="60" w:type="dxa"/>
              <w:bottom w:w="60" w:type="dxa"/>
              <w:left w:w="80" w:type="dxa"/>
              <w:right w:w="80" w:type="dxa"/>
            </w:tcMar>
            <w:vAlign w:val="center"/>
          </w:tcPr>
          <w:p>
            <w:r/>
            <w:r>
              <w:rPr>
                <w:rFonts w:ascii="Calibri" w:hAnsi="Calibri"/>
                <w:b/>
                <w:color w:val="FFFFFF"/>
                <w:sz w:val="19"/>
              </w:rPr>
              <w:t>KPIs</w:t>
            </w:r>
          </w:p>
        </w:tc>
        <w:tc>
          <w:tcPr>
            <w:tcW w:type="dxa" w:w="1500"/>
            <w:shd w:val="clear" w:color="auto" w:fill="1565C0"/>
            <w:tcMar>
              <w:top w:w="60" w:type="dxa"/>
              <w:bottom w:w="60" w:type="dxa"/>
              <w:left w:w="80" w:type="dxa"/>
              <w:right w:w="80" w:type="dxa"/>
            </w:tcMar>
            <w:vAlign w:val="center"/>
          </w:tcPr>
          <w:p>
            <w:r/>
            <w:r>
              <w:rPr>
                <w:rFonts w:ascii="Calibri" w:hAnsi="Calibri"/>
                <w:b/>
                <w:color w:val="FFFFFF"/>
                <w:sz w:val="19"/>
              </w:rPr>
              <w:t>DH Sees</w:t>
            </w:r>
          </w:p>
        </w:tc>
        <w:tc>
          <w:tcPr>
            <w:tcW w:type="dxa" w:w="1300"/>
            <w:shd w:val="clear" w:color="auto" w:fill="1565C0"/>
            <w:tcMar>
              <w:top w:w="60" w:type="dxa"/>
              <w:bottom w:w="60" w:type="dxa"/>
              <w:left w:w="80" w:type="dxa"/>
              <w:right w:w="80" w:type="dxa"/>
            </w:tcMar>
            <w:vAlign w:val="center"/>
          </w:tcPr>
          <w:p>
            <w:r/>
            <w:r>
              <w:rPr>
                <w:rFonts w:ascii="Calibri" w:hAnsi="Calibri"/>
                <w:b/>
                <w:color w:val="FFFFFF"/>
                <w:sz w:val="19"/>
              </w:rPr>
              <w:t>PM Sees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A — Approvals Needed</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MRs Awaiting DH | MRs Awaiting Finance | Pending POs | Jobs Complete — Invoice Not Raised ⚠️</w:t>
            </w:r>
          </w:p>
        </w:tc>
        <w:tc>
          <w:tcPr>
            <w:tcW w:type="dxa" w:w="1500"/>
            <w:shd w:val="clear" w:color="auto" w:fill="FFFFFF"/>
            <w:tcMar>
              <w:top w:w="60" w:type="dxa"/>
              <w:bottom w:w="60" w:type="dxa"/>
              <w:left w:w="80" w:type="dxa"/>
              <w:right w:w="80" w:type="dxa"/>
            </w:tcMar>
            <w:vAlign w:val="center"/>
          </w:tcPr>
          <w:p>
            <w:pPr>
              <w:jc w:val="left"/>
            </w:pPr>
            <w:r/>
            <w:r>
              <w:rPr>
                <w:rFonts w:ascii="Calibri" w:hAnsi="Calibri"/>
                <w:b w:val="0"/>
                <w:sz w:val="19"/>
              </w:rPr>
              <w:t>Own dept</w:t>
            </w:r>
          </w:p>
        </w:tc>
        <w:tc>
          <w:tcPr>
            <w:tcW w:type="dxa" w:w="1300"/>
            <w:shd w:val="clear" w:color="auto" w:fill="FFFFFF"/>
            <w:tcMar>
              <w:top w:w="60" w:type="dxa"/>
              <w:bottom w:w="60" w:type="dxa"/>
              <w:left w:w="80" w:type="dxa"/>
              <w:right w:w="80" w:type="dxa"/>
            </w:tcMar>
            <w:vAlign w:val="center"/>
          </w:tcPr>
          <w:p>
            <w:pPr>
              <w:jc w:val="left"/>
            </w:pPr>
            <w:r/>
            <w:r>
              <w:rPr>
                <w:rFonts w:ascii="Calibri" w:hAnsi="Calibri"/>
                <w:b w:val="0"/>
                <w:sz w:val="19"/>
              </w:rPr>
              <w:t>Own projects</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B — Project Overview</w:t>
            </w:r>
          </w:p>
        </w:tc>
        <w:tc>
          <w:tcPr>
            <w:tcW w:type="dxa" w:w="4000"/>
            <w:shd w:val="clear" w:color="auto" w:fill="F5F7FA"/>
            <w:tcMar>
              <w:top w:w="60" w:type="dxa"/>
              <w:bottom w:w="60" w:type="dxa"/>
              <w:left w:w="80" w:type="dxa"/>
              <w:right w:w="80" w:type="dxa"/>
            </w:tcMar>
            <w:vAlign w:val="center"/>
          </w:tcPr>
          <w:p>
            <w:pPr>
              <w:jc w:val="left"/>
            </w:pPr>
            <w:r/>
            <w:r>
              <w:rPr>
                <w:rFonts w:ascii="Calibri" w:hAnsi="Calibri"/>
                <w:b w:val="0"/>
                <w:sz w:val="19"/>
              </w:rPr>
              <w:t>Active Projects | Jobs In Progress | Jobs Completed This Month | Budget vs Actual Bar</w:t>
            </w:r>
          </w:p>
        </w:tc>
        <w:tc>
          <w:tcPr>
            <w:tcW w:type="dxa" w:w="1500"/>
            <w:shd w:val="clear" w:color="auto" w:fill="F5F7FA"/>
            <w:tcMar>
              <w:top w:w="60" w:type="dxa"/>
              <w:bottom w:w="60" w:type="dxa"/>
              <w:left w:w="80" w:type="dxa"/>
              <w:right w:w="80" w:type="dxa"/>
            </w:tcMar>
            <w:vAlign w:val="center"/>
          </w:tcPr>
          <w:p>
            <w:pPr>
              <w:jc w:val="left"/>
            </w:pPr>
            <w:r/>
            <w:r>
              <w:rPr>
                <w:rFonts w:ascii="Calibri" w:hAnsi="Calibri"/>
                <w:b w:val="0"/>
                <w:sz w:val="19"/>
              </w:rPr>
              <w:t>Own dept</w:t>
            </w:r>
          </w:p>
        </w:tc>
        <w:tc>
          <w:tcPr>
            <w:tcW w:type="dxa" w:w="1300"/>
            <w:shd w:val="clear" w:color="auto" w:fill="F5F7FA"/>
            <w:tcMar>
              <w:top w:w="60" w:type="dxa"/>
              <w:bottom w:w="60" w:type="dxa"/>
              <w:left w:w="80" w:type="dxa"/>
              <w:right w:w="80" w:type="dxa"/>
            </w:tcMar>
            <w:vAlign w:val="center"/>
          </w:tcPr>
          <w:p>
            <w:pPr>
              <w:jc w:val="left"/>
            </w:pPr>
            <w:r/>
            <w:r>
              <w:rPr>
                <w:rFonts w:ascii="Calibri" w:hAnsi="Calibri"/>
                <w:b w:val="0"/>
                <w:sz w:val="19"/>
              </w:rPr>
              <w:t>Own projects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C — Financial</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AR Total | AP Total | Contract Value | ANB-15/77/39 Balances</w:t>
            </w:r>
          </w:p>
        </w:tc>
        <w:tc>
          <w:tcPr>
            <w:tcW w:type="dxa" w:w="1500"/>
            <w:shd w:val="clear" w:color="auto" w:fill="FFFFFF"/>
            <w:tcMar>
              <w:top w:w="60" w:type="dxa"/>
              <w:bottom w:w="60" w:type="dxa"/>
              <w:left w:w="80" w:type="dxa"/>
              <w:right w:w="80" w:type="dxa"/>
            </w:tcMar>
            <w:vAlign w:val="center"/>
          </w:tcPr>
          <w:p>
            <w:pPr>
              <w:jc w:val="left"/>
            </w:pPr>
            <w:r/>
            <w:r>
              <w:rPr>
                <w:rFonts w:ascii="Calibri" w:hAnsi="Calibri"/>
                <w:b w:val="0"/>
                <w:sz w:val="19"/>
              </w:rPr>
              <w:t>HIDDEN</w:t>
            </w:r>
          </w:p>
        </w:tc>
        <w:tc>
          <w:tcPr>
            <w:tcW w:type="dxa" w:w="1300"/>
            <w:shd w:val="clear" w:color="auto" w:fill="FFFFFF"/>
            <w:tcMar>
              <w:top w:w="60" w:type="dxa"/>
              <w:bottom w:w="60" w:type="dxa"/>
              <w:left w:w="80" w:type="dxa"/>
              <w:right w:w="80" w:type="dxa"/>
            </w:tcMar>
            <w:vAlign w:val="center"/>
          </w:tcPr>
          <w:p>
            <w:pPr>
              <w:jc w:val="left"/>
            </w:pPr>
            <w:r/>
            <w:r>
              <w:rPr>
                <w:rFonts w:ascii="Calibri" w:hAnsi="Calibri"/>
                <w:b w:val="0"/>
                <w:sz w:val="19"/>
              </w:rPr>
              <w:t>HIDDEN</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D — Alerts</w:t>
            </w:r>
          </w:p>
        </w:tc>
        <w:tc>
          <w:tcPr>
            <w:tcW w:type="dxa" w:w="4000"/>
            <w:shd w:val="clear" w:color="auto" w:fill="F5F7FA"/>
            <w:tcMar>
              <w:top w:w="60" w:type="dxa"/>
              <w:bottom w:w="60" w:type="dxa"/>
              <w:left w:w="80" w:type="dxa"/>
              <w:right w:w="80" w:type="dxa"/>
            </w:tcMar>
            <w:vAlign w:val="center"/>
          </w:tcPr>
          <w:p>
            <w:pPr>
              <w:jc w:val="left"/>
            </w:pPr>
            <w:r/>
            <w:r>
              <w:rPr>
                <w:rFonts w:ascii="Calibri" w:hAnsi="Calibri"/>
                <w:b w:val="0"/>
                <w:sz w:val="19"/>
              </w:rPr>
              <w:t>Compliance Expiring | Payroll Status | Engagement Today | MRs Awaiting RECEIVED</w:t>
            </w:r>
          </w:p>
        </w:tc>
        <w:tc>
          <w:tcPr>
            <w:tcW w:type="dxa" w:w="1500"/>
            <w:shd w:val="clear" w:color="auto" w:fill="F5F7FA"/>
            <w:tcMar>
              <w:top w:w="60" w:type="dxa"/>
              <w:bottom w:w="60" w:type="dxa"/>
              <w:left w:w="80" w:type="dxa"/>
              <w:right w:w="80" w:type="dxa"/>
            </w:tcMar>
            <w:vAlign w:val="center"/>
          </w:tcPr>
          <w:p>
            <w:pPr>
              <w:jc w:val="left"/>
            </w:pPr>
            <w:r/>
            <w:r>
              <w:rPr>
                <w:rFonts w:ascii="Calibri" w:hAnsi="Calibri"/>
                <w:b w:val="0"/>
                <w:sz w:val="19"/>
              </w:rPr>
              <w:t>Own dept</w:t>
            </w:r>
          </w:p>
        </w:tc>
        <w:tc>
          <w:tcPr>
            <w:tcW w:type="dxa" w:w="1300"/>
            <w:shd w:val="clear" w:color="auto" w:fill="F5F7FA"/>
            <w:tcMar>
              <w:top w:w="60" w:type="dxa"/>
              <w:bottom w:w="60" w:type="dxa"/>
              <w:left w:w="80" w:type="dxa"/>
              <w:right w:w="80" w:type="dxa"/>
            </w:tcMar>
            <w:vAlign w:val="center"/>
          </w:tcPr>
          <w:p>
            <w:pPr>
              <w:jc w:val="left"/>
            </w:pPr>
            <w:r/>
            <w:r>
              <w:rPr>
                <w:rFonts w:ascii="Calibri" w:hAnsi="Calibri"/>
                <w:b w:val="0"/>
                <w:sz w:val="19"/>
              </w:rPr>
              <w:t>HIDDEN</w:t>
            </w:r>
          </w:p>
        </w:tc>
      </w:tr>
    </w:tbl>
    <w:p>
      <w:pPr>
        <w:spacing w:before="60" w:after="60"/>
      </w:pPr>
    </w:p>
    <w:p>
      <w:pPr>
        <w:pStyle w:val="Heading2"/>
        <w:spacing w:before="240" w:after="80"/>
      </w:pPr>
      <w:r>
        <w:rPr>
          <w:rFonts w:ascii="Calibri" w:hAnsi="Calibri"/>
          <w:b/>
          <w:color w:val="1A2E3D"/>
          <w:sz w:val="24"/>
        </w:rPr>
        <w:t>19.4  Field Employee Mobile Dashboard</w:t>
      </w:r>
    </w:p>
    <w:p>
      <w:pPr>
        <w:spacing w:before="40" w:after="60"/>
      </w:pPr>
      <w:r>
        <w:rPr>
          <w:rFonts w:ascii="Calibri" w:hAnsi="Calibri"/>
          <w:i w:val="0"/>
          <w:sz w:val="20"/>
        </w:rPr>
        <w:t>"Good morning [Name]" | My Submissions (last 10 + status) | Large buttons: [Expense] [OT] [Food] | My Loan Balance | Notification count.</w:t>
      </w:r>
    </w:p>
    <w:p>
      <w:pPr>
        <w:pStyle w:val="Heading1"/>
        <w:spacing w:before="320" w:after="120"/>
        <w:pBdr>
          <w:bottom w:val="single" w:sz="6" w:space="4" w:color="1565C0"/>
        </w:pBdr>
      </w:pPr>
      <w:r>
        <w:rPr>
          <w:rFonts w:ascii="Calibri" w:hAnsi="Calibri"/>
          <w:b/>
          <w:color w:val="1565C0"/>
          <w:sz w:val="28"/>
        </w:rPr>
        <w:t>Section 20 — Employee Engagement (Mandatory)</w:t>
      </w:r>
    </w:p>
    <w:tbl>
      <w:tblPr>
        <w:tblStyle w:val="TableGrid"/>
        <w:tblW w:type="auto" w:w="0"/>
        <w:tblLook w:firstColumn="1" w:firstRow="1" w:lastColumn="0" w:lastRow="0" w:noHBand="0" w:noVBand="1" w:val="04A0"/>
      </w:tblPr>
      <w:tblGrid>
        <w:gridCol w:w="2200"/>
        <w:gridCol w:w="7100"/>
      </w:tblGrid>
      <w:tr>
        <w:tc>
          <w:tcPr>
            <w:tcW w:type="dxa" w:w="2200"/>
            <w:shd w:val="clear" w:color="auto" w:fill="1565C0"/>
            <w:tcMar>
              <w:top w:w="60" w:type="dxa"/>
              <w:bottom w:w="60" w:type="dxa"/>
              <w:left w:w="80" w:type="dxa"/>
              <w:right w:w="80" w:type="dxa"/>
            </w:tcMar>
            <w:vAlign w:val="center"/>
          </w:tcPr>
          <w:p>
            <w:r/>
            <w:r>
              <w:rPr>
                <w:rFonts w:ascii="Calibri" w:hAnsi="Calibri"/>
                <w:b/>
                <w:color w:val="FFFFFF"/>
                <w:sz w:val="19"/>
              </w:rPr>
              <w:t>Status</w:t>
            </w:r>
          </w:p>
        </w:tc>
        <w:tc>
          <w:tcPr>
            <w:tcW w:type="dxa" w:w="7100"/>
            <w:shd w:val="clear" w:color="auto" w:fill="1565C0"/>
            <w:tcMar>
              <w:top w:w="60" w:type="dxa"/>
              <w:bottom w:w="60" w:type="dxa"/>
              <w:left w:w="80" w:type="dxa"/>
              <w:right w:w="80" w:type="dxa"/>
            </w:tcMar>
            <w:vAlign w:val="center"/>
          </w:tcPr>
          <w:p>
            <w:r/>
            <w:r>
              <w:rPr>
                <w:rFonts w:ascii="Calibri" w:hAnsi="Calibri"/>
                <w:b/>
                <w:color w:val="FFFFFF"/>
                <w:sz w:val="19"/>
              </w:rPr>
              <w:t>Capture Method</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val="0"/>
                <w:sz w:val="19"/>
              </w:rPr>
              <w:t>AT_SITE</w:t>
            </w:r>
          </w:p>
        </w:tc>
        <w:tc>
          <w:tcPr>
            <w:tcW w:type="dxa" w:w="7100"/>
            <w:shd w:val="clear" w:color="auto" w:fill="FFFFFF"/>
            <w:tcMar>
              <w:top w:w="60" w:type="dxa"/>
              <w:bottom w:w="60" w:type="dxa"/>
              <w:left w:w="80" w:type="dxa"/>
              <w:right w:w="80" w:type="dxa"/>
            </w:tcMar>
            <w:vAlign w:val="center"/>
          </w:tcPr>
          <w:p>
            <w:pPr>
              <w:jc w:val="left"/>
            </w:pPr>
            <w:r/>
            <w:r>
              <w:rPr>
                <w:rFonts w:ascii="Calibri" w:hAnsi="Calibri"/>
                <w:b w:val="0"/>
                <w:sz w:val="19"/>
              </w:rPr>
              <w:t>Job Activator check-in + GPS (200m radius outdoor)</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val="0"/>
                <w:sz w:val="19"/>
              </w:rPr>
              <w:t>AT_OFFICE</w:t>
            </w:r>
          </w:p>
        </w:tc>
        <w:tc>
          <w:tcPr>
            <w:tcW w:type="dxa" w:w="7100"/>
            <w:shd w:val="clear" w:color="auto" w:fill="F5F7FA"/>
            <w:tcMar>
              <w:top w:w="60" w:type="dxa"/>
              <w:bottom w:w="60" w:type="dxa"/>
              <w:left w:w="80" w:type="dxa"/>
              <w:right w:w="80" w:type="dxa"/>
            </w:tcMar>
            <w:vAlign w:val="center"/>
          </w:tcPr>
          <w:p>
            <w:pPr>
              <w:jc w:val="left"/>
            </w:pPr>
            <w:r/>
            <w:r>
              <w:rPr>
                <w:rFonts w:ascii="Calibri" w:hAnsi="Calibri"/>
                <w:b w:val="0"/>
                <w:sz w:val="19"/>
              </w:rPr>
              <w:t>Auto-capture: device GPS enters office geofence (50m) → ARRIVAL. Exits → DEPARTURE. Silent.</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val="0"/>
                <w:sz w:val="19"/>
              </w:rPr>
              <w:t>MEETING_OUT</w:t>
            </w:r>
          </w:p>
        </w:tc>
        <w:tc>
          <w:tcPr>
            <w:tcW w:type="dxa" w:w="7100"/>
            <w:shd w:val="clear" w:color="auto" w:fill="FFFFFF"/>
            <w:tcMar>
              <w:top w:w="60" w:type="dxa"/>
              <w:bottom w:w="60" w:type="dxa"/>
              <w:left w:w="80" w:type="dxa"/>
              <w:right w:w="80" w:type="dxa"/>
            </w:tcMar>
            <w:vAlign w:val="center"/>
          </w:tcPr>
          <w:p>
            <w:pPr>
              <w:jc w:val="left"/>
            </w:pPr>
            <w:r/>
            <w:r>
              <w:rPr>
                <w:rFonts w:ascii="Calibri" w:hAnsi="Calibri"/>
                <w:b w:val="0"/>
                <w:sz w:val="19"/>
              </w:rPr>
              <w:t>"Meeting Out" tap with destination. Manual.</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val="0"/>
                <w:sz w:val="19"/>
              </w:rPr>
              <w:t>ABSENT / LEAVE / HOLIDAY</w:t>
            </w:r>
          </w:p>
        </w:tc>
        <w:tc>
          <w:tcPr>
            <w:tcW w:type="dxa" w:w="7100"/>
            <w:shd w:val="clear" w:color="auto" w:fill="F5F7FA"/>
            <w:tcMar>
              <w:top w:w="60" w:type="dxa"/>
              <w:bottom w:w="60" w:type="dxa"/>
              <w:left w:w="80" w:type="dxa"/>
              <w:right w:w="80" w:type="dxa"/>
            </w:tcMar>
            <w:vAlign w:val="center"/>
          </w:tcPr>
          <w:p>
            <w:pPr>
              <w:jc w:val="left"/>
            </w:pPr>
            <w:r/>
            <w:r>
              <w:rPr>
                <w:rFonts w:ascii="Calibri" w:hAnsi="Calibri"/>
                <w:b w:val="0"/>
                <w:sz w:val="19"/>
              </w:rPr>
              <w:t>System-derived from records</w:t>
            </w:r>
          </w:p>
        </w:tc>
      </w:tr>
    </w:tbl>
    <w:p>
      <w:pPr>
        <w:spacing w:before="60" w:after="60"/>
      </w:pPr>
    </w:p>
    <w:p>
      <w:pPr>
        <w:spacing w:before="40" w:after="60"/>
      </w:pPr>
      <w:r>
        <w:rPr>
          <w:rFonts w:ascii="Calibri" w:hAnsi="Calibri"/>
          <w:i w:val="0"/>
          <w:sz w:val="20"/>
        </w:rPr>
        <w:t>Privacy: GPS active 07:00–20:00 only. No real-time tracking — geofence entry/exit events only.</w:t>
      </w:r>
    </w:p>
    <w:p>
      <w:pPr>
        <w:pStyle w:val="Heading1"/>
        <w:spacing w:before="320" w:after="120"/>
        <w:pBdr>
          <w:bottom w:val="single" w:sz="6" w:space="4" w:color="1565C0"/>
        </w:pBdr>
      </w:pPr>
      <w:r>
        <w:rPr>
          <w:rFonts w:ascii="Calibri" w:hAnsi="Calibri"/>
          <w:b/>
          <w:color w:val="1565C0"/>
          <w:sz w:val="28"/>
        </w:rPr>
        <w:t>Section 21 — Integrations</w:t>
      </w:r>
    </w:p>
    <w:tbl>
      <w:tblPr>
        <w:tblStyle w:val="TableGrid"/>
        <w:tblW w:type="auto" w:w="0"/>
        <w:tblLook w:firstColumn="1" w:firstRow="1" w:lastColumn="0" w:lastRow="0" w:noHBand="0" w:noVBand="1" w:val="04A0"/>
      </w:tblPr>
      <w:tblGrid>
        <w:gridCol w:w="2500"/>
        <w:gridCol w:w="1800"/>
        <w:gridCol w:w="50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Integration</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Status</w:t>
            </w:r>
          </w:p>
        </w:tc>
        <w:tc>
          <w:tcPr>
            <w:tcW w:type="dxa" w:w="5000"/>
            <w:shd w:val="clear" w:color="auto" w:fill="1565C0"/>
            <w:tcMar>
              <w:top w:w="60" w:type="dxa"/>
              <w:bottom w:w="60" w:type="dxa"/>
              <w:left w:w="80" w:type="dxa"/>
              <w:right w:w="80" w:type="dxa"/>
            </w:tcMar>
            <w:vAlign w:val="center"/>
          </w:tcPr>
          <w:p>
            <w:r/>
            <w:r>
              <w:rPr>
                <w:rFonts w:ascii="Calibri" w:hAnsi="Calibri"/>
                <w:b/>
                <w:color w:val="FFFFFF"/>
                <w:sz w:val="19"/>
              </w:rPr>
              <w:t>Notes</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WPS File (ANB)</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DONE</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Format documented in Appendix A</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Excel VBA Accounts + Payroll</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DONE</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Both systems analysed</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Telegram Bot API</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IN PROGRESS</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@RatalGroupBot — employees activating</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Amadeus CSV Import</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PENDING</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Mahmood to provide sample CSV</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ZATCA Phase 2</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POST GO-LIVE</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Currently ENZAPPs</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WhatsApp MIS API</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ON HOLD</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Kept as fallback</w:t>
            </w:r>
          </w:p>
        </w:tc>
      </w:tr>
    </w:tbl>
    <w:p>
      <w:pPr>
        <w:spacing w:before="60" w:after="60"/>
      </w:pPr>
    </w:p>
    <w:p>
      <w:pPr>
        <w:pStyle w:val="Heading1"/>
        <w:spacing w:before="320" w:after="120"/>
        <w:pBdr>
          <w:bottom w:val="single" w:sz="6" w:space="4" w:color="1565C0"/>
        </w:pBdr>
      </w:pPr>
      <w:r>
        <w:rPr>
          <w:rFonts w:ascii="Calibri" w:hAnsi="Calibri"/>
          <w:b/>
          <w:color w:val="1565C0"/>
          <w:sz w:val="28"/>
        </w:rPr>
        <w:t>Section 22 — Open Questions</w:t>
      </w:r>
    </w:p>
    <w:tbl>
      <w:tblPr>
        <w:tblStyle w:val="TableGrid"/>
        <w:tblW w:type="auto" w:w="0"/>
        <w:tblLook w:firstColumn="1" w:firstRow="1" w:lastColumn="0" w:lastRow="0" w:noHBand="0" w:noVBand="1" w:val="04A0"/>
      </w:tblPr>
      <w:tblGrid>
        <w:gridCol w:w="800"/>
        <w:gridCol w:w="5000"/>
        <w:gridCol w:w="3500"/>
      </w:tblGrid>
      <w:tr>
        <w:tc>
          <w:tcPr>
            <w:tcW w:type="dxa" w:w="800"/>
            <w:shd w:val="clear" w:color="auto" w:fill="1565C0"/>
            <w:tcMar>
              <w:top w:w="60" w:type="dxa"/>
              <w:bottom w:w="60" w:type="dxa"/>
              <w:left w:w="80" w:type="dxa"/>
              <w:right w:w="80" w:type="dxa"/>
            </w:tcMar>
            <w:vAlign w:val="center"/>
          </w:tcPr>
          <w:p>
            <w:r/>
            <w:r>
              <w:rPr>
                <w:rFonts w:ascii="Calibri" w:hAnsi="Calibri"/>
                <w:b/>
                <w:color w:val="FFFFFF"/>
                <w:sz w:val="19"/>
              </w:rPr>
              <w:t>#</w:t>
            </w:r>
          </w:p>
        </w:tc>
        <w:tc>
          <w:tcPr>
            <w:tcW w:type="dxa" w:w="5000"/>
            <w:shd w:val="clear" w:color="auto" w:fill="1565C0"/>
            <w:tcMar>
              <w:top w:w="60" w:type="dxa"/>
              <w:bottom w:w="60" w:type="dxa"/>
              <w:left w:w="80" w:type="dxa"/>
              <w:right w:w="80" w:type="dxa"/>
            </w:tcMar>
            <w:vAlign w:val="center"/>
          </w:tcPr>
          <w:p>
            <w:r/>
            <w:r>
              <w:rPr>
                <w:rFonts w:ascii="Calibri" w:hAnsi="Calibri"/>
                <w:b/>
                <w:color w:val="FFFFFF"/>
                <w:sz w:val="19"/>
              </w:rPr>
              <w:t>Question</w:t>
            </w:r>
          </w:p>
        </w:tc>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Status</w:t>
            </w:r>
          </w:p>
        </w:tc>
      </w:tr>
      <w:tr>
        <w:tc>
          <w:tcPr>
            <w:tcW w:type="dxa" w:w="800"/>
            <w:shd w:val="clear" w:color="auto" w:fill="FFFFFF"/>
            <w:tcMar>
              <w:top w:w="60" w:type="dxa"/>
              <w:bottom w:w="60" w:type="dxa"/>
              <w:left w:w="80" w:type="dxa"/>
              <w:right w:w="80" w:type="dxa"/>
            </w:tcMar>
            <w:vAlign w:val="center"/>
          </w:tcPr>
          <w:p>
            <w:pPr>
              <w:jc w:val="left"/>
            </w:pPr>
            <w:r/>
            <w:r>
              <w:rPr>
                <w:rFonts w:ascii="Calibri" w:hAnsi="Calibri"/>
                <w:b w:val="0"/>
                <w:sz w:val="19"/>
              </w:rPr>
              <w:t>Q1</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Hotels / Car Rentals for RAT/GWT?</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color w:val="C62828"/>
                <w:sz w:val="19"/>
              </w:rPr>
              <w:t>OPEN</w:t>
            </w:r>
          </w:p>
        </w:tc>
      </w:tr>
      <w:tr>
        <w:tc>
          <w:tcPr>
            <w:tcW w:type="dxa" w:w="800"/>
            <w:shd w:val="clear" w:color="auto" w:fill="F5F7FA"/>
            <w:tcMar>
              <w:top w:w="60" w:type="dxa"/>
              <w:bottom w:w="60" w:type="dxa"/>
              <w:left w:w="80" w:type="dxa"/>
              <w:right w:w="80" w:type="dxa"/>
            </w:tcMar>
            <w:vAlign w:val="center"/>
          </w:tcPr>
          <w:p>
            <w:pPr>
              <w:jc w:val="left"/>
            </w:pPr>
            <w:r/>
            <w:r>
              <w:rPr>
                <w:rFonts w:ascii="Calibri" w:hAnsi="Calibri"/>
                <w:b w:val="0"/>
                <w:sz w:val="19"/>
              </w:rPr>
              <w:t>Q3</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Site Survey photo categories per dept</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color w:val="E65100"/>
                <w:sz w:val="19"/>
              </w:rPr>
              <w:t>→ PHASE 2 SCOPING</w:t>
            </w:r>
          </w:p>
        </w:tc>
      </w:tr>
      <w:tr>
        <w:tc>
          <w:tcPr>
            <w:tcW w:type="dxa" w:w="800"/>
            <w:shd w:val="clear" w:color="auto" w:fill="FFFFFF"/>
            <w:tcMar>
              <w:top w:w="60" w:type="dxa"/>
              <w:bottom w:w="60" w:type="dxa"/>
              <w:left w:w="80" w:type="dxa"/>
              <w:right w:w="80" w:type="dxa"/>
            </w:tcMar>
            <w:vAlign w:val="center"/>
          </w:tcPr>
          <w:p>
            <w:pPr>
              <w:jc w:val="left"/>
            </w:pPr>
            <w:r/>
            <w:r>
              <w:rPr>
                <w:rFonts w:ascii="Calibri" w:hAnsi="Calibri"/>
                <w:b w:val="0"/>
                <w:sz w:val="19"/>
              </w:rPr>
              <w:t>Q5–Q7</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GPS registration | Additional compliance | Telegram triggers</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color w:val="2E7D32"/>
                <w:sz w:val="19"/>
              </w:rPr>
              <w:t>ALL RESOLVED</w:t>
            </w:r>
          </w:p>
        </w:tc>
      </w:tr>
      <w:tr>
        <w:tc>
          <w:tcPr>
            <w:tcW w:type="dxa" w:w="800"/>
            <w:shd w:val="clear" w:color="auto" w:fill="F5F7FA"/>
            <w:tcMar>
              <w:top w:w="60" w:type="dxa"/>
              <w:bottom w:w="60" w:type="dxa"/>
              <w:left w:w="80" w:type="dxa"/>
              <w:right w:w="80" w:type="dxa"/>
            </w:tcMar>
            <w:vAlign w:val="center"/>
          </w:tcPr>
          <w:p>
            <w:pPr>
              <w:jc w:val="left"/>
            </w:pPr>
            <w:r/>
            <w:r>
              <w:rPr>
                <w:rFonts w:ascii="Calibri" w:hAnsi="Calibri"/>
                <w:b w:val="0"/>
                <w:sz w:val="19"/>
              </w:rPr>
              <w:t>Site Master Q1–Q10</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All 10 Site Master open questions — see Site Master Q&amp;A section</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color w:val="2E7D32"/>
                <w:sz w:val="19"/>
              </w:rPr>
              <w:t>ALL ALL RESOLVED — Site Master Q&amp;A section</w:t>
            </w:r>
          </w:p>
        </w:tc>
      </w:tr>
    </w:tbl>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23 — All Confirmed Decisions</w:t>
      </w:r>
    </w:p>
    <w:tbl>
      <w:tblPr>
        <w:tblStyle w:val="TableGrid"/>
        <w:tblW w:type="auto" w:w="0"/>
        <w:tblLook w:firstColumn="1" w:firstRow="1" w:lastColumn="0" w:lastRow="0" w:noHBand="0" w:noVBand="1" w:val="04A0"/>
      </w:tblPr>
      <w:tblGrid>
        <w:gridCol w:w="3800"/>
        <w:gridCol w:w="5500"/>
      </w:tblGrid>
      <w:tr>
        <w:tc>
          <w:tcPr>
            <w:tcW w:type="dxa" w:w="3800"/>
            <w:shd w:val="clear" w:color="auto" w:fill="1565C0"/>
            <w:tcMar>
              <w:top w:w="60" w:type="dxa"/>
              <w:bottom w:w="60" w:type="dxa"/>
              <w:left w:w="80" w:type="dxa"/>
              <w:right w:w="80" w:type="dxa"/>
            </w:tcMar>
            <w:vAlign w:val="center"/>
          </w:tcPr>
          <w:p>
            <w:r/>
            <w:r>
              <w:rPr>
                <w:rFonts w:ascii="Calibri" w:hAnsi="Calibri"/>
                <w:b/>
                <w:color w:val="FFFFFF"/>
                <w:sz w:val="19"/>
              </w:rPr>
              <w:t>Topic</w:t>
            </w:r>
          </w:p>
        </w:tc>
        <w:tc>
          <w:tcPr>
            <w:tcW w:type="dxa" w:w="5500"/>
            <w:shd w:val="clear" w:color="auto" w:fill="1565C0"/>
            <w:tcMar>
              <w:top w:w="60" w:type="dxa"/>
              <w:bottom w:w="60" w:type="dxa"/>
              <w:left w:w="80" w:type="dxa"/>
              <w:right w:w="80" w:type="dxa"/>
            </w:tcMar>
            <w:vAlign w:val="center"/>
          </w:tcPr>
          <w:p>
            <w:r/>
            <w:r>
              <w:rPr>
                <w:rFonts w:ascii="Calibri" w:hAnsi="Calibri"/>
                <w:b/>
                <w:color w:val="FFFFFF"/>
                <w:sz w:val="19"/>
              </w:rPr>
              <w:t>Decision</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Entity 3 name</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ACCSYS (final)</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CISU full name</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Civil Infrastructure Services Unit</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GOSI base</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Bank Portion (NOT Basic salary)</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Saudi GOSI</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9% lump sum — company pays all, zero employee deduction</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Expat GOSI</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3% of Bank Portion, company-borne</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OT calculation + max</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Basic ÷ 30 ÷ 8 × 1.5 | 60 hrs/month system cap | auto-feeds payroll</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Food Allowance</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Separate advance — NOT in payroll | Remote site only | SAR 30 or SAR 20/day</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Loan eligibility</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Ratal Sponsored + TRAVELS only | from Cash Portion | max 24 months</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Penalty cap</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10% of SalaryPackage/month | carry-forward | Cash Portion only</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Family ticket timing</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Any time — no link to employee vacation | once/year per dependent</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DH / GM family</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DH: wife + 3 kids, home country | GM: wife + 4 kids, any destination</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Field staff login</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Session token — mobile# + PIN once, auto thereafter</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Invoice reference</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Contractor PO# always (End Customer Job# is additional reference)</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Outgoing PO format</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ACC-PO-XXXX + Date (Ratal → sub-con / supplier)</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Site Master scope</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1 Job# = 1 SM (NISU) | 1 Tower = 1 SM (TISU) | 1 Charter = 1 SM (ITSU)</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Budget lock rule</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LOCKED after Dept Head + Finance approval — not editable</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Variations</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Tracked in Actual only — budget NOT amended</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Payment terms</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Per party by category — stored at Party record level</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Ledger auto-posting</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YES — every transaction auto-posts</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Single entry principle</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One entry point — no duplicate recording</w:t>
            </w:r>
          </w:p>
        </w:tc>
      </w:tr>
      <w:tr>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ZATCA Phase 2</w:t>
            </w:r>
          </w:p>
        </w:tc>
        <w:tc>
          <w:tcPr>
            <w:tcW w:type="dxa" w:w="5500"/>
            <w:shd w:val="clear" w:color="auto" w:fill="FFFFFF"/>
            <w:tcMar>
              <w:top w:w="60" w:type="dxa"/>
              <w:bottom w:w="60" w:type="dxa"/>
              <w:left w:w="80" w:type="dxa"/>
              <w:right w:w="80" w:type="dxa"/>
            </w:tcMar>
            <w:vAlign w:val="center"/>
          </w:tcPr>
          <w:p>
            <w:pPr>
              <w:jc w:val="left"/>
            </w:pPr>
            <w:r/>
            <w:r>
              <w:rPr>
                <w:rFonts w:ascii="Calibri" w:hAnsi="Calibri"/>
                <w:b w:val="0"/>
                <w:sz w:val="19"/>
              </w:rPr>
              <w:t>No fixed date — post go-live</w:t>
            </w:r>
          </w:p>
        </w:tc>
      </w:tr>
      <w:tr>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Site Survey</w:t>
            </w:r>
          </w:p>
        </w:tc>
        <w:tc>
          <w:tcPr>
            <w:tcW w:type="dxa" w:w="5500"/>
            <w:shd w:val="clear" w:color="auto" w:fill="F5F7FA"/>
            <w:tcMar>
              <w:top w:w="60" w:type="dxa"/>
              <w:bottom w:w="60" w:type="dxa"/>
              <w:left w:w="80" w:type="dxa"/>
              <w:right w:w="80" w:type="dxa"/>
            </w:tcMar>
            <w:vAlign w:val="center"/>
          </w:tcPr>
          <w:p>
            <w:pPr>
              <w:jc w:val="left"/>
            </w:pPr>
            <w:r/>
            <w:r>
              <w:rPr>
                <w:rFonts w:ascii="Calibri" w:hAnsi="Calibri"/>
                <w:b w:val="0"/>
                <w:sz w:val="19"/>
              </w:rPr>
              <w:t>Phase 2 (full enterprise) | Inventory: Phase 3 | EDLMS: Phase 3</w:t>
            </w:r>
          </w:p>
        </w:tc>
      </w:tr>
    </w:tbl>
    <w:p>
      <w:pPr>
        <w:spacing w:before="60" w:after="60"/>
      </w:pPr>
    </w:p>
    <w:p>
      <w:pPr>
        <w:pStyle w:val="Heading1"/>
        <w:spacing w:before="320" w:after="120"/>
        <w:pBdr>
          <w:bottom w:val="single" w:sz="6" w:space="4" w:color="1565C0"/>
        </w:pBdr>
      </w:pPr>
      <w:r>
        <w:rPr>
          <w:rFonts w:ascii="Calibri" w:hAnsi="Calibri"/>
          <w:b/>
          <w:color w:val="1565C0"/>
          <w:sz w:val="28"/>
        </w:rPr>
        <w:t>Section 24 — Build Sequence (Phase 1 — July 31 Target)</w:t>
      </w:r>
    </w:p>
    <w:tbl>
      <w:tblPr>
        <w:tblStyle w:val="TableGrid"/>
        <w:tblW w:type="auto" w:w="0"/>
        <w:tblLook w:firstColumn="1" w:firstRow="1" w:lastColumn="0" w:lastRow="0" w:noHBand="0" w:noVBand="1" w:val="04A0"/>
      </w:tblPr>
      <w:tblGrid>
        <w:gridCol w:w="1600"/>
        <w:gridCol w:w="1600"/>
        <w:gridCol w:w="6100"/>
      </w:tblGrid>
      <w:tr>
        <w:tc>
          <w:tcPr>
            <w:tcW w:type="dxa" w:w="1600"/>
            <w:shd w:val="clear" w:color="auto" w:fill="1565C0"/>
            <w:tcMar>
              <w:top w:w="60" w:type="dxa"/>
              <w:bottom w:w="60" w:type="dxa"/>
              <w:left w:w="80" w:type="dxa"/>
              <w:right w:w="80" w:type="dxa"/>
            </w:tcMar>
            <w:vAlign w:val="center"/>
          </w:tcPr>
          <w:p>
            <w:r/>
            <w:r>
              <w:rPr>
                <w:rFonts w:ascii="Calibri" w:hAnsi="Calibri"/>
                <w:b/>
                <w:color w:val="FFFFFF"/>
                <w:sz w:val="19"/>
              </w:rPr>
              <w:t>Week</w:t>
            </w:r>
          </w:p>
        </w:tc>
        <w:tc>
          <w:tcPr>
            <w:tcW w:type="dxa" w:w="1600"/>
            <w:shd w:val="clear" w:color="auto" w:fill="1565C0"/>
            <w:tcMar>
              <w:top w:w="60" w:type="dxa"/>
              <w:bottom w:w="60" w:type="dxa"/>
              <w:left w:w="80" w:type="dxa"/>
              <w:right w:w="80" w:type="dxa"/>
            </w:tcMar>
            <w:vAlign w:val="center"/>
          </w:tcPr>
          <w:p>
            <w:r/>
            <w:r>
              <w:rPr>
                <w:rFonts w:ascii="Calibri" w:hAnsi="Calibri"/>
                <w:b/>
                <w:color w:val="FFFFFF"/>
                <w:sz w:val="19"/>
              </w:rPr>
              <w:t>Dates</w:t>
            </w:r>
          </w:p>
        </w:tc>
        <w:tc>
          <w:tcPr>
            <w:tcW w:type="dxa" w:w="6100"/>
            <w:shd w:val="clear" w:color="auto" w:fill="1565C0"/>
            <w:tcMar>
              <w:top w:w="60" w:type="dxa"/>
              <w:bottom w:w="60" w:type="dxa"/>
              <w:left w:w="80" w:type="dxa"/>
              <w:right w:w="80" w:type="dxa"/>
            </w:tcMar>
            <w:vAlign w:val="center"/>
          </w:tcPr>
          <w:p>
            <w:r/>
            <w:r>
              <w:rPr>
                <w:rFonts w:ascii="Calibri" w:hAnsi="Calibri"/>
                <w:b/>
                <w:color w:val="FFFFFF"/>
                <w:sz w:val="19"/>
              </w:rPr>
              <w:t>Deliverables</w:t>
            </w:r>
          </w:p>
        </w:tc>
      </w:tr>
      <w:tr>
        <w:tc>
          <w:tcPr>
            <w:tcW w:type="dxa" w:w="1600"/>
            <w:shd w:val="clear" w:color="auto" w:fill="FFFFFF"/>
            <w:tcMar>
              <w:top w:w="60" w:type="dxa"/>
              <w:bottom w:w="60" w:type="dxa"/>
              <w:left w:w="80" w:type="dxa"/>
              <w:right w:w="80" w:type="dxa"/>
            </w:tcMar>
            <w:vAlign w:val="center"/>
          </w:tcPr>
          <w:p>
            <w:pPr>
              <w:jc w:val="left"/>
            </w:pPr>
            <w:r/>
            <w:r>
              <w:rPr>
                <w:rFonts w:ascii="Calibri" w:hAnsi="Calibri"/>
                <w:b/>
                <w:sz w:val="19"/>
              </w:rPr>
              <w:t>Week 1</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Jul 5–11</w:t>
            </w:r>
          </w:p>
        </w:tc>
        <w:tc>
          <w:tcPr>
            <w:tcW w:type="dxa" w:w="6100"/>
            <w:shd w:val="clear" w:color="auto" w:fill="FFFFFF"/>
            <w:tcMar>
              <w:top w:w="60" w:type="dxa"/>
              <w:bottom w:w="60" w:type="dxa"/>
              <w:left w:w="80" w:type="dxa"/>
              <w:right w:w="80" w:type="dxa"/>
            </w:tcMar>
            <w:vAlign w:val="center"/>
          </w:tcPr>
          <w:p>
            <w:pPr>
              <w:jc w:val="left"/>
            </w:pPr>
            <w:r/>
            <w:r>
              <w:rPr>
                <w:rFonts w:ascii="Calibri" w:hAnsi="Calibri"/>
                <w:b w:val="0"/>
                <w:sz w:val="19"/>
              </w:rPr>
              <w:t>DB schema. Employee form (all fields). Payroll (GOSI, cash/bank, auto-OT). WPS. Loans + Penalties + EOS. Unpaid vacation + levy.</w:t>
            </w:r>
          </w:p>
        </w:tc>
      </w:tr>
      <w:tr>
        <w:tc>
          <w:tcPr>
            <w:tcW w:type="dxa" w:w="1600"/>
            <w:shd w:val="clear" w:color="auto" w:fill="F5F7FA"/>
            <w:tcMar>
              <w:top w:w="60" w:type="dxa"/>
              <w:bottom w:w="60" w:type="dxa"/>
              <w:left w:w="80" w:type="dxa"/>
              <w:right w:w="80" w:type="dxa"/>
            </w:tcMar>
            <w:vAlign w:val="center"/>
          </w:tcPr>
          <w:p>
            <w:pPr>
              <w:jc w:val="left"/>
            </w:pPr>
            <w:r/>
            <w:r>
              <w:rPr>
                <w:rFonts w:ascii="Calibri" w:hAnsi="Calibri"/>
                <w:b/>
                <w:sz w:val="19"/>
              </w:rPr>
              <w:t>Week 2</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Jul 12–18</w:t>
            </w:r>
          </w:p>
        </w:tc>
        <w:tc>
          <w:tcPr>
            <w:tcW w:type="dxa" w:w="6100"/>
            <w:shd w:val="clear" w:color="auto" w:fill="F5F7FA"/>
            <w:tcMar>
              <w:top w:w="60" w:type="dxa"/>
              <w:bottom w:w="60" w:type="dxa"/>
              <w:left w:w="80" w:type="dxa"/>
              <w:right w:w="80" w:type="dxa"/>
            </w:tcMar>
            <w:vAlign w:val="center"/>
          </w:tcPr>
          <w:p>
            <w:pPr>
              <w:jc w:val="left"/>
            </w:pPr>
            <w:r/>
            <w:r>
              <w:rPr>
                <w:rFonts w:ascii="Calibri" w:hAnsi="Calibri"/>
                <w:b w:val="0"/>
                <w:sz w:val="19"/>
              </w:rPr>
              <w:t>Vacations + Ticket Log. Business Trip. Accounting: Ledger, Journal, Contra, Payments, Receipts, Invoice + Contractor PO binding. Day Book + VAT. Travel: Tickets, Amadeus, BSP, Refunds.</w:t>
            </w:r>
          </w:p>
        </w:tc>
      </w:tr>
      <w:tr>
        <w:tc>
          <w:tcPr>
            <w:tcW w:type="dxa" w:w="1600"/>
            <w:shd w:val="clear" w:color="auto" w:fill="FFFFFF"/>
            <w:tcMar>
              <w:top w:w="60" w:type="dxa"/>
              <w:bottom w:w="60" w:type="dxa"/>
              <w:left w:w="80" w:type="dxa"/>
              <w:right w:w="80" w:type="dxa"/>
            </w:tcMar>
            <w:vAlign w:val="center"/>
          </w:tcPr>
          <w:p>
            <w:pPr>
              <w:jc w:val="left"/>
            </w:pPr>
            <w:r/>
            <w:r>
              <w:rPr>
                <w:rFonts w:ascii="Calibri" w:hAnsi="Calibri"/>
                <w:b/>
                <w:sz w:val="19"/>
              </w:rPr>
              <w:t>Week 3</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Jul 19–25</w:t>
            </w:r>
          </w:p>
        </w:tc>
        <w:tc>
          <w:tcPr>
            <w:tcW w:type="dxa" w:w="6100"/>
            <w:shd w:val="clear" w:color="auto" w:fill="FFFFFF"/>
            <w:tcMar>
              <w:top w:w="60" w:type="dxa"/>
              <w:bottom w:w="60" w:type="dxa"/>
              <w:left w:w="80" w:type="dxa"/>
              <w:right w:w="80" w:type="dxa"/>
            </w:tcMar>
            <w:vAlign w:val="center"/>
          </w:tcPr>
          <w:p>
            <w:pPr>
              <w:jc w:val="left"/>
            </w:pPr>
            <w:r/>
            <w:r>
              <w:rPr>
                <w:rFonts w:ascii="Calibri" w:hAnsi="Calibri"/>
                <w:b w:val="0"/>
                <w:sz w:val="19"/>
              </w:rPr>
              <w:t>ACCSYS: Projects + Jobs + Contractor hierarchy + Job Activator. PO Request | Money Request (8-stage) | PM Budget. Budget vs Actual. Sub-cons + Vendors. All 15 Dept Statements. All 16 Travel Reports. Payroll Reports A,B,C. Compliance Alerts.</w:t>
            </w:r>
          </w:p>
        </w:tc>
      </w:tr>
      <w:tr>
        <w:tc>
          <w:tcPr>
            <w:tcW w:type="dxa" w:w="1600"/>
            <w:shd w:val="clear" w:color="auto" w:fill="F5F7FA"/>
            <w:tcMar>
              <w:top w:w="60" w:type="dxa"/>
              <w:bottom w:w="60" w:type="dxa"/>
              <w:left w:w="80" w:type="dxa"/>
              <w:right w:w="80" w:type="dxa"/>
            </w:tcMar>
            <w:vAlign w:val="center"/>
          </w:tcPr>
          <w:p>
            <w:pPr>
              <w:jc w:val="left"/>
            </w:pPr>
            <w:r/>
            <w:r>
              <w:rPr>
                <w:rFonts w:ascii="Calibri" w:hAnsi="Calibri"/>
                <w:b/>
                <w:sz w:val="19"/>
              </w:rPr>
              <w:t>Week 4</w:t>
            </w:r>
          </w:p>
        </w:tc>
        <w:tc>
          <w:tcPr>
            <w:tcW w:type="dxa" w:w="1600"/>
            <w:shd w:val="clear" w:color="auto" w:fill="F5F7FA"/>
            <w:tcMar>
              <w:top w:w="60" w:type="dxa"/>
              <w:bottom w:w="60" w:type="dxa"/>
              <w:left w:w="80" w:type="dxa"/>
              <w:right w:w="80" w:type="dxa"/>
            </w:tcMar>
            <w:vAlign w:val="center"/>
          </w:tcPr>
          <w:p>
            <w:pPr>
              <w:jc w:val="left"/>
            </w:pPr>
            <w:r/>
            <w:r>
              <w:rPr>
                <w:rFonts w:ascii="Calibri" w:hAnsi="Calibri"/>
                <w:b w:val="0"/>
                <w:sz w:val="19"/>
              </w:rPr>
              <w:t>Jul 26–31</w:t>
            </w:r>
          </w:p>
        </w:tc>
        <w:tc>
          <w:tcPr>
            <w:tcW w:type="dxa" w:w="6100"/>
            <w:shd w:val="clear" w:color="auto" w:fill="F5F7FA"/>
            <w:tcMar>
              <w:top w:w="60" w:type="dxa"/>
              <w:bottom w:w="60" w:type="dxa"/>
              <w:left w:w="80" w:type="dxa"/>
              <w:right w:w="80" w:type="dxa"/>
            </w:tcMar>
            <w:vAlign w:val="center"/>
          </w:tcPr>
          <w:p>
            <w:pPr>
              <w:jc w:val="left"/>
            </w:pPr>
            <w:r/>
            <w:r>
              <w:rPr>
                <w:rFonts w:ascii="Calibri" w:hAnsi="Calibri"/>
                <w:b w:val="0"/>
                <w:sz w:val="19"/>
              </w:rPr>
              <w:t>Field Apps (mobile URLs). Basic Site Survey + Site Status. Employee Engagement (auto-capture). GPS Attendance. Telegram integration. All 3 dashboards (role-based). Full UAT + go-live.</w:t>
            </w:r>
          </w:p>
        </w:tc>
      </w:tr>
      <w:tr>
        <w:tc>
          <w:tcPr>
            <w:tcW w:type="dxa" w:w="1600"/>
            <w:shd w:val="clear" w:color="auto" w:fill="FFFFFF"/>
            <w:tcMar>
              <w:top w:w="60" w:type="dxa"/>
              <w:bottom w:w="60" w:type="dxa"/>
              <w:left w:w="80" w:type="dxa"/>
              <w:right w:w="80" w:type="dxa"/>
            </w:tcMar>
            <w:vAlign w:val="center"/>
          </w:tcPr>
          <w:p>
            <w:pPr>
              <w:jc w:val="left"/>
            </w:pPr>
            <w:r/>
            <w:r>
              <w:rPr>
                <w:rFonts w:ascii="Calibri" w:hAnsi="Calibri"/>
                <w:b/>
                <w:color w:val="2E7D32"/>
                <w:sz w:val="19"/>
              </w:rPr>
              <w:t>Post Go-Live</w:t>
            </w:r>
          </w:p>
        </w:tc>
        <w:tc>
          <w:tcPr>
            <w:tcW w:type="dxa" w:w="1600"/>
            <w:shd w:val="clear" w:color="auto" w:fill="FFFFFF"/>
            <w:tcMar>
              <w:top w:w="60" w:type="dxa"/>
              <w:bottom w:w="60" w:type="dxa"/>
              <w:left w:w="80" w:type="dxa"/>
              <w:right w:w="80" w:type="dxa"/>
            </w:tcMar>
            <w:vAlign w:val="center"/>
          </w:tcPr>
          <w:p>
            <w:pPr>
              <w:jc w:val="left"/>
            </w:pPr>
            <w:r/>
            <w:r>
              <w:rPr>
                <w:rFonts w:ascii="Calibri" w:hAnsi="Calibri"/>
                <w:b w:val="0"/>
                <w:sz w:val="19"/>
              </w:rPr>
              <w:t>Aug 2026+</w:t>
            </w:r>
          </w:p>
        </w:tc>
        <w:tc>
          <w:tcPr>
            <w:tcW w:type="dxa" w:w="6100"/>
            <w:shd w:val="clear" w:color="auto" w:fill="FFFFFF"/>
            <w:tcMar>
              <w:top w:w="60" w:type="dxa"/>
              <w:bottom w:w="60" w:type="dxa"/>
              <w:left w:w="80" w:type="dxa"/>
              <w:right w:w="80" w:type="dxa"/>
            </w:tcMar>
            <w:vAlign w:val="center"/>
          </w:tcPr>
          <w:p>
            <w:pPr>
              <w:jc w:val="left"/>
            </w:pPr>
            <w:r/>
            <w:r>
              <w:rPr>
                <w:rFonts w:ascii="Calibri" w:hAnsi="Calibri"/>
                <w:b w:val="0"/>
                <w:sz w:val="19"/>
              </w:rPr>
              <w:t>Site Master module (full spec — Site Master section). ZATCA Phase 2. Phase 2: Enterprise Site Survey. Phase 3: Inventory + EDLMS.</w:t>
            </w:r>
          </w:p>
        </w:tc>
      </w:tr>
    </w:tbl>
    <w:p>
      <w:pPr>
        <w:spacing w:before="60" w:after="60"/>
      </w:pPr>
    </w:p>
    <w:p>
      <w:r>
        <w:br w:type="page"/>
      </w:r>
    </w:p>
    <w:p>
      <w:pPr>
        <w:pStyle w:val="Heading1"/>
        <w:spacing w:before="320" w:after="120"/>
        <w:pBdr>
          <w:bottom w:val="single" w:sz="6" w:space="4" w:color="1565C0"/>
        </w:pBdr>
      </w:pPr>
      <w:r>
        <w:rPr>
          <w:rFonts w:ascii="Calibri" w:hAnsi="Calibri"/>
          <w:b/>
          <w:color w:val="1565C0"/>
          <w:sz w:val="28"/>
        </w:rPr>
        <w:t>Section 25 — UI/UX Design Guidelines</w:t>
      </w:r>
    </w:p>
    <w:p>
      <w:pPr>
        <w:spacing w:before="40" w:after="60"/>
      </w:pPr>
      <w:r>
        <w:rPr>
          <w:rFonts w:ascii="Calibri" w:hAnsi="Calibri"/>
          <w:i w:val="0"/>
          <w:sz w:val="20"/>
        </w:rPr>
        <w:t>Philosophy: "Forms should be elegant. Dashboard should be organised and clean." Every screen must be pleasant with minimal effort.</w:t>
      </w:r>
    </w:p>
    <w:p>
      <w:pPr>
        <w:pStyle w:val="Heading2"/>
        <w:spacing w:before="240" w:after="80"/>
      </w:pPr>
      <w:r>
        <w:rPr>
          <w:rFonts w:ascii="Calibri" w:hAnsi="Calibri"/>
          <w:b/>
          <w:color w:val="1A2E3D"/>
          <w:sz w:val="24"/>
        </w:rPr>
        <w:t>25.1  Colour Scheme</w:t>
      </w:r>
    </w:p>
    <w:tbl>
      <w:tblPr>
        <w:tblStyle w:val="TableGrid"/>
        <w:tblW w:type="auto" w:w="0"/>
        <w:tblLook w:firstColumn="1" w:firstRow="1" w:lastColumn="0" w:lastRow="0" w:noHBand="0" w:noVBand="1" w:val="04A0"/>
      </w:tblPr>
      <w:tblGrid>
        <w:gridCol w:w="2000"/>
        <w:gridCol w:w="2000"/>
        <w:gridCol w:w="2000"/>
        <w:gridCol w:w="3300"/>
      </w:tblGrid>
      <w:tr>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Entity</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Primary</w:t>
            </w:r>
          </w:p>
        </w:tc>
        <w:tc>
          <w:tcPr>
            <w:tcW w:type="dxa" w:w="2000"/>
            <w:shd w:val="clear" w:color="auto" w:fill="1565C0"/>
            <w:tcMar>
              <w:top w:w="60" w:type="dxa"/>
              <w:bottom w:w="60" w:type="dxa"/>
              <w:left w:w="80" w:type="dxa"/>
              <w:right w:w="80" w:type="dxa"/>
            </w:tcMar>
            <w:vAlign w:val="center"/>
          </w:tcPr>
          <w:p>
            <w:r/>
            <w:r>
              <w:rPr>
                <w:rFonts w:ascii="Calibri" w:hAnsi="Calibri"/>
                <w:b/>
                <w:color w:val="FFFFFF"/>
                <w:sz w:val="19"/>
              </w:rPr>
              <w:t>Secondary</w:t>
            </w:r>
          </w:p>
        </w:tc>
        <w:tc>
          <w:tcPr>
            <w:tcW w:type="dxa" w:w="3300"/>
            <w:shd w:val="clear" w:color="auto" w:fill="1565C0"/>
            <w:tcMar>
              <w:top w:w="60" w:type="dxa"/>
              <w:bottom w:w="60" w:type="dxa"/>
              <w:left w:w="80" w:type="dxa"/>
              <w:right w:w="80" w:type="dxa"/>
            </w:tcMar>
            <w:vAlign w:val="center"/>
          </w:tcPr>
          <w:p>
            <w:r/>
            <w:r>
              <w:rPr>
                <w:rFonts w:ascii="Calibri" w:hAnsi="Calibri"/>
                <w:b/>
                <w:color w:val="FFFFFF"/>
                <w:sz w:val="19"/>
              </w:rPr>
              <w:t>Light BG</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color w:val="1565C0"/>
                <w:sz w:val="19"/>
              </w:rPr>
              <w:t>RAT</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#1565C0</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#1E88E5</w:t>
            </w:r>
          </w:p>
        </w:tc>
        <w:tc>
          <w:tcPr>
            <w:tcW w:type="dxa" w:w="3300"/>
            <w:shd w:val="clear" w:color="auto" w:fill="FFFFFF"/>
            <w:tcMar>
              <w:top w:w="60" w:type="dxa"/>
              <w:bottom w:w="60" w:type="dxa"/>
              <w:left w:w="80" w:type="dxa"/>
              <w:right w:w="80" w:type="dxa"/>
            </w:tcMar>
            <w:vAlign w:val="center"/>
          </w:tcPr>
          <w:p>
            <w:pPr>
              <w:jc w:val="left"/>
            </w:pPr>
            <w:r/>
            <w:r>
              <w:rPr>
                <w:rFonts w:ascii="Calibri" w:hAnsi="Calibri"/>
                <w:b w:val="0"/>
                <w:sz w:val="19"/>
              </w:rPr>
              <w:t>#E3F2FD</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color w:val="2E7D32"/>
                <w:sz w:val="19"/>
              </w:rPr>
              <w:t>GWT</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#2E7D32</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#43A047</w:t>
            </w:r>
          </w:p>
        </w:tc>
        <w:tc>
          <w:tcPr>
            <w:tcW w:type="dxa" w:w="3300"/>
            <w:shd w:val="clear" w:color="auto" w:fill="F5F7FA"/>
            <w:tcMar>
              <w:top w:w="60" w:type="dxa"/>
              <w:bottom w:w="60" w:type="dxa"/>
              <w:left w:w="80" w:type="dxa"/>
              <w:right w:w="80" w:type="dxa"/>
            </w:tcMar>
            <w:vAlign w:val="center"/>
          </w:tcPr>
          <w:p>
            <w:pPr>
              <w:jc w:val="left"/>
            </w:pPr>
            <w:r/>
            <w:r>
              <w:rPr>
                <w:rFonts w:ascii="Calibri" w:hAnsi="Calibri"/>
                <w:b w:val="0"/>
                <w:sz w:val="19"/>
              </w:rPr>
              <w:t>#E8F5E9</w:t>
            </w:r>
          </w:p>
        </w:tc>
      </w:tr>
      <w:tr>
        <w:tc>
          <w:tcPr>
            <w:tcW w:type="dxa" w:w="2000"/>
            <w:shd w:val="clear" w:color="auto" w:fill="FFFFFF"/>
            <w:tcMar>
              <w:top w:w="60" w:type="dxa"/>
              <w:bottom w:w="60" w:type="dxa"/>
              <w:left w:w="80" w:type="dxa"/>
              <w:right w:w="80" w:type="dxa"/>
            </w:tcMar>
            <w:vAlign w:val="center"/>
          </w:tcPr>
          <w:p>
            <w:pPr>
              <w:jc w:val="left"/>
            </w:pPr>
            <w:r/>
            <w:r>
              <w:rPr>
                <w:rFonts w:ascii="Calibri" w:hAnsi="Calibri"/>
                <w:b/>
                <w:color w:val="5A32D4"/>
                <w:sz w:val="19"/>
              </w:rPr>
              <w:t>ACCSYS</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#5A32D4</w:t>
            </w:r>
          </w:p>
        </w:tc>
        <w:tc>
          <w:tcPr>
            <w:tcW w:type="dxa" w:w="2000"/>
            <w:shd w:val="clear" w:color="auto" w:fill="FFFFFF"/>
            <w:tcMar>
              <w:top w:w="60" w:type="dxa"/>
              <w:bottom w:w="60" w:type="dxa"/>
              <w:left w:w="80" w:type="dxa"/>
              <w:right w:w="80" w:type="dxa"/>
            </w:tcMar>
            <w:vAlign w:val="center"/>
          </w:tcPr>
          <w:p>
            <w:pPr>
              <w:jc w:val="left"/>
            </w:pPr>
            <w:r/>
            <w:r>
              <w:rPr>
                <w:rFonts w:ascii="Calibri" w:hAnsi="Calibri"/>
                <w:b w:val="0"/>
                <w:sz w:val="19"/>
              </w:rPr>
              <w:t>#7C4EF5</w:t>
            </w:r>
          </w:p>
        </w:tc>
        <w:tc>
          <w:tcPr>
            <w:tcW w:type="dxa" w:w="3300"/>
            <w:shd w:val="clear" w:color="auto" w:fill="FFFFFF"/>
            <w:tcMar>
              <w:top w:w="60" w:type="dxa"/>
              <w:bottom w:w="60" w:type="dxa"/>
              <w:left w:w="80" w:type="dxa"/>
              <w:right w:w="80" w:type="dxa"/>
            </w:tcMar>
            <w:vAlign w:val="center"/>
          </w:tcPr>
          <w:p>
            <w:pPr>
              <w:jc w:val="left"/>
            </w:pPr>
            <w:r/>
            <w:r>
              <w:rPr>
                <w:rFonts w:ascii="Calibri" w:hAnsi="Calibri"/>
                <w:b w:val="0"/>
                <w:sz w:val="19"/>
              </w:rPr>
              <w:t>#EDE7F6</w:t>
            </w:r>
          </w:p>
        </w:tc>
      </w:tr>
      <w:tr>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Common</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#FFFFFF background</w:t>
            </w:r>
          </w:p>
        </w:tc>
        <w:tc>
          <w:tcPr>
            <w:tcW w:type="dxa" w:w="2000"/>
            <w:shd w:val="clear" w:color="auto" w:fill="F5F7FA"/>
            <w:tcMar>
              <w:top w:w="60" w:type="dxa"/>
              <w:bottom w:w="60" w:type="dxa"/>
              <w:left w:w="80" w:type="dxa"/>
              <w:right w:w="80" w:type="dxa"/>
            </w:tcMar>
            <w:vAlign w:val="center"/>
          </w:tcPr>
          <w:p>
            <w:pPr>
              <w:jc w:val="left"/>
            </w:pPr>
            <w:r/>
            <w:r>
              <w:rPr>
                <w:rFonts w:ascii="Calibri" w:hAnsi="Calibri"/>
                <w:b w:val="0"/>
                <w:sz w:val="19"/>
              </w:rPr>
              <w:t>Cards: #F8F9FC | Text: #1E2A3A</w:t>
            </w:r>
          </w:p>
        </w:tc>
        <w:tc>
          <w:tcPr>
            <w:tcW w:type="dxa" w:w="3300"/>
            <w:shd w:val="clear" w:color="auto" w:fill="F5F7FA"/>
            <w:tcMar>
              <w:top w:w="60" w:type="dxa"/>
              <w:bottom w:w="60" w:type="dxa"/>
              <w:left w:w="80" w:type="dxa"/>
              <w:right w:w="80" w:type="dxa"/>
            </w:tcMar>
            <w:vAlign w:val="center"/>
          </w:tcPr>
          <w:p>
            <w:pPr>
              <w:jc w:val="left"/>
            </w:pPr>
            <w:r/>
            <w:r>
              <w:rPr>
                <w:rFonts w:ascii="Calibri" w:hAnsi="Calibri"/>
                <w:b w:val="0"/>
                <w:sz w:val="19"/>
              </w:rPr>
              <w:t>Borders: #E8EAF0</w:t>
            </w:r>
          </w:p>
        </w:tc>
      </w:tr>
    </w:tbl>
    <w:p>
      <w:pPr>
        <w:spacing w:before="60" w:after="60"/>
      </w:pPr>
    </w:p>
    <w:p>
      <w:pPr>
        <w:pStyle w:val="Heading2"/>
        <w:spacing w:before="240" w:after="80"/>
      </w:pPr>
      <w:r>
        <w:rPr>
          <w:rFonts w:ascii="Calibri" w:hAnsi="Calibri"/>
          <w:b/>
          <w:color w:val="1A2E3D"/>
          <w:sz w:val="24"/>
        </w:rPr>
        <w:t>25.2  Form Standards</w:t>
      </w:r>
    </w:p>
    <w:p>
      <w:pPr>
        <w:pStyle w:val="ListBullet"/>
        <w:spacing w:before="20" w:after="20"/>
      </w:pPr>
      <w:r>
        <w:rPr>
          <w:rFonts w:ascii="Calibri" w:hAnsi="Calibri"/>
          <w:sz w:val="20"/>
        </w:rPr>
        <w:t>Desktop: 2-column grid | Mobile (&lt;768px): single column | Card with soft shadow</w:t>
      </w:r>
    </w:p>
    <w:p>
      <w:pPr>
        <w:pStyle w:val="ListBullet"/>
        <w:spacing w:before="20" w:after="20"/>
      </w:pPr>
      <w:r>
        <w:rPr>
          <w:rFonts w:ascii="Calibri" w:hAnsi="Calibri"/>
          <w:sz w:val="20"/>
        </w:rPr>
        <w:t>Labels ABOVE inputs | Auto-filled fields: coloured + AUTO tag</w:t>
      </w:r>
    </w:p>
    <w:p>
      <w:pPr>
        <w:pStyle w:val="ListBullet"/>
        <w:spacing w:before="20" w:after="20"/>
      </w:pPr>
      <w:r>
        <w:rPr>
          <w:rFonts w:ascii="Calibri" w:hAnsi="Calibri"/>
          <w:sz w:val="20"/>
        </w:rPr>
        <w:t>Rounded inputs: 8–12px | Required: asterisk (*) | Inline validation below field</w:t>
      </w:r>
    </w:p>
    <w:p>
      <w:pPr>
        <w:pStyle w:val="ListBullet"/>
        <w:spacing w:before="20" w:after="20"/>
      </w:pPr>
      <w:r>
        <w:rPr>
          <w:rFonts w:ascii="Calibri" w:hAnsi="Calibri"/>
          <w:sz w:val="20"/>
        </w:rPr>
        <w:t>Submit: entity colour gradient, min 44px height | Full RTL in Arabic</w:t>
      </w:r>
    </w:p>
    <w:p>
      <w:pPr>
        <w:pStyle w:val="ListBullet"/>
        <w:spacing w:before="20" w:after="20"/>
      </w:pPr>
      <w:r>
        <w:rPr>
          <w:rFonts w:ascii="Calibri" w:hAnsi="Calibri"/>
          <w:sz w:val="20"/>
        </w:rPr>
        <w:t>Success: shows Request# + "Telegram notification sent"</w:t>
      </w:r>
    </w:p>
    <w:p>
      <w:pPr>
        <w:pStyle w:val="Heading2"/>
        <w:spacing w:before="240" w:after="80"/>
      </w:pPr>
      <w:r>
        <w:rPr>
          <w:rFonts w:ascii="Calibri" w:hAnsi="Calibri"/>
          <w:b/>
          <w:color w:val="1A2E3D"/>
          <w:sz w:val="24"/>
        </w:rPr>
        <w:t>25.3  Dashboard Standards</w:t>
      </w:r>
    </w:p>
    <w:p>
      <w:pPr>
        <w:pStyle w:val="ListBullet"/>
        <w:spacing w:before="20" w:after="20"/>
      </w:pPr>
      <w:r>
        <w:rPr>
          <w:rFonts w:ascii="Calibri" w:hAnsi="Calibri"/>
          <w:sz w:val="20"/>
        </w:rPr>
        <w:t>KPI cards: white, soft shadow, 14px radius | Icon + trend + large number | Clickable → drill-down</w:t>
      </w:r>
    </w:p>
    <w:p>
      <w:pPr>
        <w:pStyle w:val="ListBullet"/>
        <w:spacing w:before="20" w:after="20"/>
      </w:pPr>
      <w:r>
        <w:rPr>
          <w:rFonts w:ascii="Calibri" w:hAnsi="Calibri"/>
          <w:sz w:val="20"/>
        </w:rPr>
        <w:t>Tables: zebra striping | Search + filter chips | Export PDF/Excel on every list</w:t>
      </w:r>
    </w:p>
    <w:p>
      <w:pPr>
        <w:pStyle w:val="ListBullet"/>
        <w:spacing w:before="20" w:after="20"/>
      </w:pPr>
      <w:r>
        <w:rPr>
          <w:rFonts w:ascii="Calibri" w:hAnsi="Calibri"/>
          <w:sz w:val="20"/>
        </w:rPr>
        <w:t>Status chips: PENDING=Amber | APPROVED=Green | REJECTED=Red | IN_PROGRESS=Purple</w:t>
      </w:r>
    </w:p>
    <w:p>
      <w:pPr>
        <w:pStyle w:val="ListBullet"/>
        <w:spacing w:before="20" w:after="20"/>
      </w:pPr>
      <w:r>
        <w:rPr>
          <w:rFonts w:ascii="Calibri" w:hAnsi="Calibri"/>
          <w:sz w:val="20"/>
        </w:rPr>
        <w:t>Mobile: sidebar → bottom tab bar | Tables → card-style rows</w:t>
      </w:r>
    </w:p>
    <w:p>
      <w:pPr>
        <w:spacing w:before="60" w:after="60"/>
      </w:pPr>
    </w:p>
    <w:p>
      <w:pPr>
        <w:pStyle w:val="Heading1"/>
        <w:spacing w:before="320" w:after="120"/>
        <w:pBdr>
          <w:bottom w:val="single" w:sz="6" w:space="4" w:color="1565C0"/>
        </w:pBdr>
      </w:pPr>
      <w:r>
        <w:rPr>
          <w:rFonts w:ascii="Calibri" w:hAnsi="Calibri"/>
          <w:b/>
          <w:color w:val="1565C0"/>
          <w:sz w:val="28"/>
        </w:rPr>
        <w:t>Section 26 — Phase Roadmap</w:t>
      </w:r>
    </w:p>
    <w:tbl>
      <w:tblPr>
        <w:tblStyle w:val="TableGrid"/>
        <w:tblW w:type="auto" w:w="0"/>
        <w:tblLook w:firstColumn="1" w:firstRow="1" w:lastColumn="0" w:lastRow="0" w:noHBand="0" w:noVBand="1" w:val="04A0"/>
      </w:tblPr>
      <w:tblGrid>
        <w:gridCol w:w="2500"/>
        <w:gridCol w:w="1800"/>
        <w:gridCol w:w="50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Phase</w:t>
            </w:r>
          </w:p>
        </w:tc>
        <w:tc>
          <w:tcPr>
            <w:tcW w:type="dxa" w:w="1800"/>
            <w:shd w:val="clear" w:color="auto" w:fill="1565C0"/>
            <w:tcMar>
              <w:top w:w="60" w:type="dxa"/>
              <w:bottom w:w="60" w:type="dxa"/>
              <w:left w:w="80" w:type="dxa"/>
              <w:right w:w="80" w:type="dxa"/>
            </w:tcMar>
            <w:vAlign w:val="center"/>
          </w:tcPr>
          <w:p>
            <w:r/>
            <w:r>
              <w:rPr>
                <w:rFonts w:ascii="Calibri" w:hAnsi="Calibri"/>
                <w:b/>
                <w:color w:val="FFFFFF"/>
                <w:sz w:val="19"/>
              </w:rPr>
              <w:t>Timeline</w:t>
            </w:r>
          </w:p>
        </w:tc>
        <w:tc>
          <w:tcPr>
            <w:tcW w:type="dxa" w:w="5000"/>
            <w:shd w:val="clear" w:color="auto" w:fill="1565C0"/>
            <w:tcMar>
              <w:top w:w="60" w:type="dxa"/>
              <w:bottom w:w="60" w:type="dxa"/>
              <w:left w:w="80" w:type="dxa"/>
              <w:right w:w="80" w:type="dxa"/>
            </w:tcMar>
            <w:vAlign w:val="center"/>
          </w:tcPr>
          <w:p>
            <w:r/>
            <w:r>
              <w:rPr>
                <w:rFonts w:ascii="Calibri" w:hAnsi="Calibri"/>
                <w:b/>
                <w:color w:val="FFFFFF"/>
                <w:sz w:val="19"/>
              </w:rPr>
              <w:t>Scope</w:t>
            </w:r>
          </w:p>
        </w:tc>
      </w:tr>
      <w:tr>
        <w:tc>
          <w:tcPr>
            <w:tcW w:type="dxa" w:w="2500"/>
            <w:shd w:val="clear" w:color="auto" w:fill="1565C0"/>
            <w:tcMar>
              <w:top w:w="60" w:type="dxa"/>
              <w:bottom w:w="60" w:type="dxa"/>
              <w:left w:w="80" w:type="dxa"/>
              <w:right w:w="80" w:type="dxa"/>
            </w:tcMar>
            <w:vAlign w:val="center"/>
          </w:tcPr>
          <w:p>
            <w:pPr>
              <w:jc w:val="left"/>
            </w:pPr>
            <w:r/>
            <w:r>
              <w:rPr>
                <w:rFonts w:ascii="Calibri" w:hAnsi="Calibri"/>
                <w:b/>
                <w:color w:val="FFFFFF"/>
                <w:sz w:val="19"/>
              </w:rPr>
              <w:t>Phase 1 — Core System</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Jul 31, 2026</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Travel Agency (Tickets, BSP, Refunds, 16 Reports). Corporate (Projects, Jobs, POs, Money Requests). HR &amp; Payroll (WPS, EOS, Loans). Accounting (Ledger, Invoices, VAT). Compliance. Dashboards. Field Apps. Telegram.</w:t>
            </w:r>
          </w:p>
        </w:tc>
      </w:tr>
      <w:tr>
        <w:tc>
          <w:tcPr>
            <w:tcW w:type="dxa" w:w="2500"/>
            <w:shd w:val="clear" w:color="auto" w:fill="2E7D32"/>
            <w:tcMar>
              <w:top w:w="60" w:type="dxa"/>
              <w:bottom w:w="60" w:type="dxa"/>
              <w:left w:w="80" w:type="dxa"/>
              <w:right w:w="80" w:type="dxa"/>
            </w:tcMar>
            <w:vAlign w:val="center"/>
          </w:tcPr>
          <w:p>
            <w:pPr>
              <w:jc w:val="left"/>
            </w:pPr>
            <w:r/>
            <w:r>
              <w:rPr>
                <w:rFonts w:ascii="Calibri" w:hAnsi="Calibri"/>
                <w:b/>
                <w:color w:val="FFFFFF"/>
                <w:sz w:val="19"/>
              </w:rPr>
              <w:t>Phase 2 — Field Operations</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Aug–Dec 2026</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Enterprise Site Survey: 18+ survey types, AI photo scoring, floor plan designer, equipment DB + auto BOQ, Google Earth for MW links, AutoCAD/PDF export, offline sync. Inventory foundation.</w:t>
            </w:r>
          </w:p>
        </w:tc>
      </w:tr>
      <w:tr>
        <w:tc>
          <w:tcPr>
            <w:tcW w:type="dxa" w:w="2500"/>
            <w:shd w:val="clear" w:color="auto" w:fill="4A148C"/>
            <w:tcMar>
              <w:top w:w="60" w:type="dxa"/>
              <w:bottom w:w="60" w:type="dxa"/>
              <w:left w:w="80" w:type="dxa"/>
              <w:right w:w="80" w:type="dxa"/>
            </w:tcMar>
            <w:vAlign w:val="center"/>
          </w:tcPr>
          <w:p>
            <w:pPr>
              <w:jc w:val="left"/>
            </w:pPr>
            <w:r/>
            <w:r>
              <w:rPr>
                <w:rFonts w:ascii="Calibri" w:hAnsi="Calibri"/>
                <w:b/>
                <w:color w:val="FFFFFF"/>
                <w:sz w:val="19"/>
              </w:rPr>
              <w:t>Phase 3 — Enterprise Operations</w:t>
            </w:r>
          </w:p>
        </w:tc>
        <w:tc>
          <w:tcPr>
            <w:tcW w:type="dxa" w:w="1800"/>
            <w:shd w:val="clear" w:color="auto" w:fill="FFFFFF"/>
            <w:tcMar>
              <w:top w:w="60" w:type="dxa"/>
              <w:bottom w:w="60" w:type="dxa"/>
              <w:left w:w="80" w:type="dxa"/>
              <w:right w:w="80" w:type="dxa"/>
            </w:tcMar>
            <w:vAlign w:val="center"/>
          </w:tcPr>
          <w:p>
            <w:pPr>
              <w:jc w:val="left"/>
            </w:pPr>
            <w:r/>
            <w:r>
              <w:rPr>
                <w:rFonts w:ascii="Calibri" w:hAnsi="Calibri"/>
                <w:b w:val="0"/>
                <w:sz w:val="19"/>
              </w:rPr>
              <w:t>2027</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Full Inventory + Asset Management (serial number, multi-warehouse, BOQ engine, delivery notes). EDLMS: 11-phase project lifecycle, document version control, digital signatures, MOP/PAT management. Full Procurement module.</w:t>
            </w:r>
          </w:p>
        </w:tc>
      </w:tr>
      <w:tr>
        <w:tc>
          <w:tcPr>
            <w:tcW w:type="dxa" w:w="2500"/>
            <w:shd w:val="clear" w:color="auto" w:fill="B71C1C"/>
            <w:tcMar>
              <w:top w:w="60" w:type="dxa"/>
              <w:bottom w:w="60" w:type="dxa"/>
              <w:left w:w="80" w:type="dxa"/>
              <w:right w:w="80" w:type="dxa"/>
            </w:tcMar>
            <w:vAlign w:val="center"/>
          </w:tcPr>
          <w:p>
            <w:pPr>
              <w:jc w:val="left"/>
            </w:pPr>
            <w:r/>
            <w:r>
              <w:rPr>
                <w:rFonts w:ascii="Calibri" w:hAnsi="Calibri"/>
                <w:b/>
                <w:color w:val="FFFFFF"/>
                <w:sz w:val="19"/>
              </w:rPr>
              <w:t>Phase 4 — AI &amp; Intelligence</w:t>
            </w:r>
          </w:p>
        </w:tc>
        <w:tc>
          <w:tcPr>
            <w:tcW w:type="dxa" w:w="1800"/>
            <w:shd w:val="clear" w:color="auto" w:fill="F5F7FA"/>
            <w:tcMar>
              <w:top w:w="60" w:type="dxa"/>
              <w:bottom w:w="60" w:type="dxa"/>
              <w:left w:w="80" w:type="dxa"/>
              <w:right w:w="80" w:type="dxa"/>
            </w:tcMar>
            <w:vAlign w:val="center"/>
          </w:tcPr>
          <w:p>
            <w:pPr>
              <w:jc w:val="left"/>
            </w:pPr>
            <w:r/>
            <w:r>
              <w:rPr>
                <w:rFonts w:ascii="Calibri" w:hAnsi="Calibri"/>
                <w:b w:val="0"/>
                <w:sz w:val="19"/>
              </w:rPr>
              <w:t>2027+</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AI photo analysis (blur, duplicate, OCR). Predict stock shortages + auto BOQ. Invoice anomaly detection. Budget overrun early warning. Cashflow prediction. Executive summary generation.</w:t>
            </w:r>
          </w:p>
        </w:tc>
      </w:tr>
    </w:tbl>
    <w:p>
      <w:pPr>
        <w:spacing w:before="60" w:after="60"/>
      </w:pPr>
    </w:p>
    <w:p>
      <w:pPr>
        <w:spacing w:before="40" w:after="60"/>
      </w:pPr>
      <w:r>
        <w:rPr>
          <w:rFonts w:ascii="Calibri" w:hAnsi="Calibri"/>
          <w:i w:val="0"/>
          <w:sz w:val="20"/>
        </w:rPr>
        <w:t>Long-term vision: Unified Telecom ERP — CRM → Survey → BOQ → Procurement → Inventory → Execution → Finance → PAT/Handover → Maintenance → GIS → AI. Scalable to 1M+ surveys.</w:t>
      </w:r>
    </w:p>
    <w:p>
      <w:pPr>
        <w:pStyle w:val="Heading1"/>
        <w:spacing w:before="320" w:after="120"/>
        <w:pBdr>
          <w:bottom w:val="single" w:sz="6" w:space="4" w:color="1565C0"/>
        </w:pBdr>
      </w:pPr>
      <w:r>
        <w:rPr>
          <w:rFonts w:ascii="Calibri" w:hAnsi="Calibri"/>
          <w:b/>
          <w:color w:val="1565C0"/>
          <w:sz w:val="28"/>
        </w:rPr>
        <w:t>Section 27 — Open Questions Tracker</w:t>
      </w:r>
    </w:p>
    <w:tbl>
      <w:tblPr>
        <w:tblStyle w:val="TableGrid"/>
        <w:tblW w:type="auto" w:w="0"/>
        <w:tblLook w:firstColumn="1" w:firstRow="1" w:lastColumn="0" w:lastRow="0" w:noHBand="0" w:noVBand="1" w:val="04A0"/>
      </w:tblPr>
      <w:tblGrid>
        <w:gridCol w:w="800"/>
        <w:gridCol w:w="5000"/>
        <w:gridCol w:w="3500"/>
      </w:tblGrid>
      <w:tr>
        <w:tc>
          <w:tcPr>
            <w:tcW w:type="dxa" w:w="800"/>
            <w:shd w:val="clear" w:color="auto" w:fill="1565C0"/>
            <w:tcMar>
              <w:top w:w="60" w:type="dxa"/>
              <w:bottom w:w="60" w:type="dxa"/>
              <w:left w:w="80" w:type="dxa"/>
              <w:right w:w="80" w:type="dxa"/>
            </w:tcMar>
            <w:vAlign w:val="center"/>
          </w:tcPr>
          <w:p>
            <w:r/>
            <w:r>
              <w:rPr>
                <w:rFonts w:ascii="Calibri" w:hAnsi="Calibri"/>
                <w:b/>
                <w:color w:val="FFFFFF"/>
                <w:sz w:val="19"/>
              </w:rPr>
              <w:t>#</w:t>
            </w:r>
          </w:p>
        </w:tc>
        <w:tc>
          <w:tcPr>
            <w:tcW w:type="dxa" w:w="5000"/>
            <w:shd w:val="clear" w:color="auto" w:fill="1565C0"/>
            <w:tcMar>
              <w:top w:w="60" w:type="dxa"/>
              <w:bottom w:w="60" w:type="dxa"/>
              <w:left w:w="80" w:type="dxa"/>
              <w:right w:w="80" w:type="dxa"/>
            </w:tcMar>
            <w:vAlign w:val="center"/>
          </w:tcPr>
          <w:p>
            <w:r/>
            <w:r>
              <w:rPr>
                <w:rFonts w:ascii="Calibri" w:hAnsi="Calibri"/>
                <w:b/>
                <w:color w:val="FFFFFF"/>
                <w:sz w:val="19"/>
              </w:rPr>
              <w:t>Question</w:t>
            </w:r>
          </w:p>
        </w:tc>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Status</w:t>
            </w:r>
          </w:p>
        </w:tc>
      </w:tr>
      <w:tr>
        <w:tc>
          <w:tcPr>
            <w:tcW w:type="dxa" w:w="800"/>
            <w:shd w:val="clear" w:color="auto" w:fill="FFFFFF"/>
            <w:tcMar>
              <w:top w:w="60" w:type="dxa"/>
              <w:bottom w:w="60" w:type="dxa"/>
              <w:left w:w="80" w:type="dxa"/>
              <w:right w:w="80" w:type="dxa"/>
            </w:tcMar>
            <w:vAlign w:val="center"/>
          </w:tcPr>
          <w:p>
            <w:pPr>
              <w:jc w:val="left"/>
            </w:pPr>
            <w:r/>
            <w:r>
              <w:rPr>
                <w:rFonts w:ascii="Calibri" w:hAnsi="Calibri"/>
                <w:b w:val="0"/>
                <w:sz w:val="19"/>
              </w:rPr>
              <w:t>Q1</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Hotels/Car Rentals for RAT/GWT?</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color w:val="C62828"/>
                <w:sz w:val="19"/>
              </w:rPr>
              <w:t>OPEN</w:t>
            </w:r>
          </w:p>
        </w:tc>
      </w:tr>
      <w:tr>
        <w:tc>
          <w:tcPr>
            <w:tcW w:type="dxa" w:w="800"/>
            <w:shd w:val="clear" w:color="auto" w:fill="F5F7FA"/>
            <w:tcMar>
              <w:top w:w="60" w:type="dxa"/>
              <w:bottom w:w="60" w:type="dxa"/>
              <w:left w:w="80" w:type="dxa"/>
              <w:right w:w="80" w:type="dxa"/>
            </w:tcMar>
            <w:vAlign w:val="center"/>
          </w:tcPr>
          <w:p>
            <w:pPr>
              <w:jc w:val="left"/>
            </w:pPr>
            <w:r/>
            <w:r>
              <w:rPr>
                <w:rFonts w:ascii="Calibri" w:hAnsi="Calibri"/>
                <w:b w:val="0"/>
                <w:sz w:val="19"/>
              </w:rPr>
              <w:t>Q3</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Site Survey photo categories</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 Phase 2 Scoping</w:t>
            </w:r>
          </w:p>
        </w:tc>
      </w:tr>
      <w:tr>
        <w:tc>
          <w:tcPr>
            <w:tcW w:type="dxa" w:w="800"/>
            <w:shd w:val="clear" w:color="auto" w:fill="FFFFFF"/>
            <w:tcMar>
              <w:top w:w="60" w:type="dxa"/>
              <w:bottom w:w="60" w:type="dxa"/>
              <w:left w:w="80" w:type="dxa"/>
              <w:right w:w="80" w:type="dxa"/>
            </w:tcMar>
            <w:vAlign w:val="center"/>
          </w:tcPr>
          <w:p>
            <w:pPr>
              <w:jc w:val="left"/>
            </w:pPr>
            <w:r/>
            <w:r>
              <w:rPr>
                <w:rFonts w:ascii="Calibri" w:hAnsi="Calibri"/>
                <w:b w:val="0"/>
                <w:sz w:val="19"/>
              </w:rPr>
              <w:t>Q5–Q7</w:t>
            </w:r>
          </w:p>
        </w:tc>
        <w:tc>
          <w:tcPr>
            <w:tcW w:type="dxa" w:w="5000"/>
            <w:shd w:val="clear" w:color="auto" w:fill="FFFFFF"/>
            <w:tcMar>
              <w:top w:w="60" w:type="dxa"/>
              <w:bottom w:w="60" w:type="dxa"/>
              <w:left w:w="80" w:type="dxa"/>
              <w:right w:w="80" w:type="dxa"/>
            </w:tcMar>
            <w:vAlign w:val="center"/>
          </w:tcPr>
          <w:p>
            <w:pPr>
              <w:jc w:val="left"/>
            </w:pPr>
            <w:r/>
            <w:r>
              <w:rPr>
                <w:rFonts w:ascii="Calibri" w:hAnsi="Calibri"/>
                <w:b w:val="0"/>
                <w:sz w:val="19"/>
              </w:rPr>
              <w:t>GPS | Compliance | Telegram</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ALL RESOLVED</w:t>
            </w:r>
          </w:p>
        </w:tc>
      </w:tr>
      <w:tr>
        <w:tc>
          <w:tcPr>
            <w:tcW w:type="dxa" w:w="800"/>
            <w:shd w:val="clear" w:color="auto" w:fill="F5F7FA"/>
            <w:tcMar>
              <w:top w:w="60" w:type="dxa"/>
              <w:bottom w:w="60" w:type="dxa"/>
              <w:left w:w="80" w:type="dxa"/>
              <w:right w:w="80" w:type="dxa"/>
            </w:tcMar>
            <w:vAlign w:val="center"/>
          </w:tcPr>
          <w:p>
            <w:pPr>
              <w:jc w:val="left"/>
            </w:pPr>
            <w:r/>
            <w:r>
              <w:rPr>
                <w:rFonts w:ascii="Calibri" w:hAnsi="Calibri"/>
                <w:b w:val="0"/>
                <w:sz w:val="19"/>
              </w:rPr>
              <w:t>SM Q1–Q10</w:t>
            </w:r>
          </w:p>
        </w:tc>
        <w:tc>
          <w:tcPr>
            <w:tcW w:type="dxa" w:w="5000"/>
            <w:shd w:val="clear" w:color="auto" w:fill="F5F7FA"/>
            <w:tcMar>
              <w:top w:w="60" w:type="dxa"/>
              <w:bottom w:w="60" w:type="dxa"/>
              <w:left w:w="80" w:type="dxa"/>
              <w:right w:w="80" w:type="dxa"/>
            </w:tcMar>
            <w:vAlign w:val="center"/>
          </w:tcPr>
          <w:p>
            <w:pPr>
              <w:jc w:val="left"/>
            </w:pPr>
            <w:r/>
            <w:r>
              <w:rPr>
                <w:rFonts w:ascii="Calibri" w:hAnsi="Calibri"/>
                <w:b w:val="0"/>
                <w:sz w:val="19"/>
              </w:rPr>
              <w:t>All 10 Site Master questions</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ALL RESOLVED — Site Master Q&amp;A section</w:t>
            </w:r>
          </w:p>
        </w:tc>
      </w:tr>
    </w:tbl>
    <w:p>
      <w:pPr>
        <w:spacing w:before="60" w:after="60"/>
      </w:pPr>
    </w:p>
    <w:p>
      <w:pPr>
        <w:pStyle w:val="Heading1"/>
        <w:spacing w:before="320" w:after="120"/>
        <w:pBdr>
          <w:bottom w:val="single" w:sz="6" w:space="4" w:color="1565C0"/>
        </w:pBdr>
      </w:pPr>
      <w:r>
        <w:rPr>
          <w:rFonts w:ascii="Calibri" w:hAnsi="Calibri"/>
          <w:b/>
          <w:color w:val="1565C0"/>
          <w:sz w:val="28"/>
        </w:rPr>
        <w:t>Section 28 — Telegram Bot Setup Status</w:t>
      </w:r>
    </w:p>
    <w:tbl>
      <w:tblPr>
        <w:tblStyle w:val="TableGrid"/>
        <w:tblW w:type="auto" w:w="0"/>
        <w:tblLook w:firstColumn="1" w:firstRow="1" w:lastColumn="0" w:lastRow="0" w:noHBand="0" w:noVBand="1" w:val="04A0"/>
      </w:tblPr>
      <w:tblGrid>
        <w:gridCol w:w="3500"/>
        <w:gridCol w:w="2300"/>
        <w:gridCol w:w="3500"/>
      </w:tblGrid>
      <w:tr>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Employee</w:t>
            </w:r>
          </w:p>
        </w:tc>
        <w:tc>
          <w:tcPr>
            <w:tcW w:type="dxa" w:w="2300"/>
            <w:shd w:val="clear" w:color="auto" w:fill="1565C0"/>
            <w:tcMar>
              <w:top w:w="60" w:type="dxa"/>
              <w:bottom w:w="60" w:type="dxa"/>
              <w:left w:w="80" w:type="dxa"/>
              <w:right w:w="80" w:type="dxa"/>
            </w:tcMar>
            <w:vAlign w:val="center"/>
          </w:tcPr>
          <w:p>
            <w:r/>
            <w:r>
              <w:rPr>
                <w:rFonts w:ascii="Calibri" w:hAnsi="Calibri"/>
                <w:b/>
                <w:color w:val="FFFFFF"/>
                <w:sz w:val="19"/>
              </w:rPr>
              <w:t>Chat ID</w:t>
            </w:r>
          </w:p>
        </w:tc>
        <w:tc>
          <w:tcPr>
            <w:tcW w:type="dxa" w:w="3500"/>
            <w:shd w:val="clear" w:color="auto" w:fill="1565C0"/>
            <w:tcMar>
              <w:top w:w="60" w:type="dxa"/>
              <w:bottom w:w="60" w:type="dxa"/>
              <w:left w:w="80" w:type="dxa"/>
              <w:right w:w="80" w:type="dxa"/>
            </w:tcMar>
            <w:vAlign w:val="center"/>
          </w:tcPr>
          <w:p>
            <w:r/>
            <w:r>
              <w:rPr>
                <w:rFonts w:ascii="Calibri" w:hAnsi="Calibri"/>
                <w:b/>
                <w:color w:val="FFFFFF"/>
                <w:sz w:val="19"/>
              </w:rPr>
              <w:t>Status</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Mahmood Shahbaz</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8767079512</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color w:val="2E7D32"/>
                <w:sz w:val="19"/>
              </w:rPr>
              <w:t>✅ Active</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Mohammad Rashad</w:t>
            </w:r>
          </w:p>
        </w:tc>
        <w:tc>
          <w:tcPr>
            <w:tcW w:type="dxa" w:w="2300"/>
            <w:shd w:val="clear" w:color="auto" w:fill="F5F7FA"/>
            <w:tcMar>
              <w:top w:w="60" w:type="dxa"/>
              <w:bottom w:w="60" w:type="dxa"/>
              <w:left w:w="80" w:type="dxa"/>
              <w:right w:w="80" w:type="dxa"/>
            </w:tcMar>
            <w:vAlign w:val="center"/>
          </w:tcPr>
          <w:p>
            <w:pPr>
              <w:jc w:val="left"/>
            </w:pPr>
            <w:r/>
            <w:r>
              <w:rPr>
                <w:rFonts w:ascii="Calibri" w:hAnsi="Calibri"/>
                <w:b w:val="0"/>
                <w:sz w:val="19"/>
              </w:rPr>
              <w:t>8069828682</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color w:val="2E7D32"/>
                <w:sz w:val="19"/>
              </w:rPr>
              <w:t>✅ Active</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Hafiz Shahzad</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8881636707</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color w:val="2E7D32"/>
                <w:sz w:val="19"/>
              </w:rPr>
              <w:t>✅ Active</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Umar Rahman</w:t>
            </w:r>
          </w:p>
        </w:tc>
        <w:tc>
          <w:tcPr>
            <w:tcW w:type="dxa" w:w="2300"/>
            <w:shd w:val="clear" w:color="auto" w:fill="F5F7FA"/>
            <w:tcMar>
              <w:top w:w="60" w:type="dxa"/>
              <w:bottom w:w="60" w:type="dxa"/>
              <w:left w:w="80" w:type="dxa"/>
              <w:right w:w="80" w:type="dxa"/>
            </w:tcMar>
            <w:vAlign w:val="center"/>
          </w:tcPr>
          <w:p>
            <w:pPr>
              <w:jc w:val="left"/>
            </w:pPr>
            <w:r/>
            <w:r>
              <w:rPr>
                <w:rFonts w:ascii="Calibri" w:hAnsi="Calibri"/>
                <w:b w:val="0"/>
                <w:sz w:val="19"/>
              </w:rPr>
              <w:t>6386454312</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color w:val="2E7D32"/>
                <w:sz w:val="19"/>
              </w:rPr>
              <w:t>✅ Active</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Raja Amjad</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1571319215</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val="0"/>
                <w:color w:val="2E7D32"/>
                <w:sz w:val="19"/>
              </w:rPr>
              <w:t>✅ Active</w:t>
            </w:r>
          </w:p>
        </w:tc>
      </w:tr>
      <w:tr>
        <w:tc>
          <w:tcPr>
            <w:tcW w:type="dxa" w:w="3500"/>
            <w:shd w:val="clear" w:color="auto" w:fill="F5F7FA"/>
            <w:tcMar>
              <w:top w:w="60" w:type="dxa"/>
              <w:bottom w:w="60" w:type="dxa"/>
              <w:left w:w="80" w:type="dxa"/>
              <w:right w:w="80" w:type="dxa"/>
            </w:tcMar>
            <w:vAlign w:val="center"/>
          </w:tcPr>
          <w:p>
            <w:pPr>
              <w:jc w:val="left"/>
            </w:pPr>
            <w:r/>
            <w:r>
              <w:rPr>
                <w:rFonts w:ascii="Calibri" w:hAnsi="Calibri"/>
                <w:b w:val="0"/>
                <w:sz w:val="19"/>
              </w:rPr>
              <w:t>M Y A</w:t>
            </w:r>
          </w:p>
        </w:tc>
        <w:tc>
          <w:tcPr>
            <w:tcW w:type="dxa" w:w="2300"/>
            <w:shd w:val="clear" w:color="auto" w:fill="F5F7FA"/>
            <w:tcMar>
              <w:top w:w="60" w:type="dxa"/>
              <w:bottom w:w="60" w:type="dxa"/>
              <w:left w:w="80" w:type="dxa"/>
              <w:right w:w="80" w:type="dxa"/>
            </w:tcMar>
            <w:vAlign w:val="center"/>
          </w:tcPr>
          <w:p>
            <w:pPr>
              <w:jc w:val="left"/>
            </w:pPr>
            <w:r/>
            <w:r>
              <w:rPr>
                <w:rFonts w:ascii="Calibri" w:hAnsi="Calibri"/>
                <w:b w:val="0"/>
                <w:sz w:val="19"/>
              </w:rPr>
              <w:t>6564085867</w:t>
            </w:r>
          </w:p>
        </w:tc>
        <w:tc>
          <w:tcPr>
            <w:tcW w:type="dxa" w:w="3500"/>
            <w:shd w:val="clear" w:color="auto" w:fill="F5F7FA"/>
            <w:tcMar>
              <w:top w:w="60" w:type="dxa"/>
              <w:bottom w:w="60" w:type="dxa"/>
              <w:left w:w="80" w:type="dxa"/>
              <w:right w:w="80" w:type="dxa"/>
            </w:tcMar>
            <w:vAlign w:val="center"/>
          </w:tcPr>
          <w:p>
            <w:pPr>
              <w:jc w:val="left"/>
            </w:pPr>
            <w:r/>
            <w:r>
              <w:rPr>
                <w:rFonts w:ascii="Calibri" w:hAnsi="Calibri"/>
                <w:b w:val="0"/>
                <w:color w:val="E65100"/>
                <w:sz w:val="19"/>
              </w:rPr>
              <w:t>✅ Active (identity to confirm)</w:t>
            </w:r>
          </w:p>
        </w:tc>
      </w:tr>
      <w:tr>
        <w:tc>
          <w:tcPr>
            <w:tcW w:type="dxa" w:w="3500"/>
            <w:shd w:val="clear" w:color="auto" w:fill="FFFFFF"/>
            <w:tcMar>
              <w:top w:w="60" w:type="dxa"/>
              <w:bottom w:w="60" w:type="dxa"/>
              <w:left w:w="80" w:type="dxa"/>
              <w:right w:w="80" w:type="dxa"/>
            </w:tcMar>
            <w:vAlign w:val="center"/>
          </w:tcPr>
          <w:p>
            <w:pPr>
              <w:jc w:val="left"/>
            </w:pPr>
            <w:r/>
            <w:r>
              <w:rPr>
                <w:rFonts w:ascii="Calibri" w:hAnsi="Calibri"/>
                <w:b w:val="0"/>
                <w:sz w:val="19"/>
              </w:rPr>
              <w:t>Majid Parvez, Rehan Ul Haq, Khaled Khamis, Sulaiman ZTE, Tariq Aziz ZTE, Sattar Alamgir</w:t>
            </w:r>
          </w:p>
        </w:tc>
        <w:tc>
          <w:tcPr>
            <w:tcW w:type="dxa" w:w="2300"/>
            <w:shd w:val="clear" w:color="auto" w:fill="FFFFFF"/>
            <w:tcMar>
              <w:top w:w="60" w:type="dxa"/>
              <w:bottom w:w="60" w:type="dxa"/>
              <w:left w:w="80" w:type="dxa"/>
              <w:right w:w="80" w:type="dxa"/>
            </w:tcMar>
            <w:vAlign w:val="center"/>
          </w:tcPr>
          <w:p>
            <w:pPr>
              <w:jc w:val="left"/>
            </w:pPr>
            <w:r/>
            <w:r>
              <w:rPr>
                <w:rFonts w:ascii="Calibri" w:hAnsi="Calibri"/>
                <w:b w:val="0"/>
                <w:sz w:val="19"/>
              </w:rPr>
              <w:t>—</w:t>
            </w:r>
          </w:p>
        </w:tc>
        <w:tc>
          <w:tcPr>
            <w:tcW w:type="dxa" w:w="3500"/>
            <w:shd w:val="clear" w:color="auto" w:fill="FFFFFF"/>
            <w:tcMar>
              <w:top w:w="60" w:type="dxa"/>
              <w:bottom w:w="60" w:type="dxa"/>
              <w:left w:w="80" w:type="dxa"/>
              <w:right w:w="80" w:type="dxa"/>
            </w:tcMar>
            <w:vAlign w:val="center"/>
          </w:tcPr>
          <w:p>
            <w:pPr>
              <w:jc w:val="left"/>
            </w:pPr>
            <w:r/>
            <w:r>
              <w:rPr>
                <w:rFonts w:ascii="Calibri" w:hAnsi="Calibri"/>
                <w:b/>
                <w:color w:val="C62828"/>
                <w:sz w:val="19"/>
              </w:rPr>
              <w:t>⚠️ Not yet activated — needs Telegram install</w:t>
            </w:r>
          </w:p>
        </w:tc>
      </w:tr>
    </w:tbl>
    <w:p>
      <w:pPr>
        <w:spacing w:before="60" w:after="60"/>
      </w:pPr>
    </w:p>
    <w:p>
      <w:pPr>
        <w:spacing w:before="40" w:after="60"/>
      </w:pPr>
      <w:r>
        <w:rPr>
          <w:rFonts w:ascii="Calibri" w:hAnsi="Calibri"/>
          <w:i w:val="0"/>
          <w:sz w:val="20"/>
        </w:rPr>
        <w:t>Action: Share https://t.me/RatalGroupBot to remaining employees.</w:t>
      </w:r>
    </w:p>
    <w:p>
      <w:pPr>
        <w:spacing w:before="60" w:after="60"/>
      </w:pPr>
    </w:p>
    <w:p>
      <w:r>
        <w:br w:type="page"/>
      </w:r>
    </w:p>
    <w:p>
      <w:pPr>
        <w:pStyle w:val="Heading1"/>
        <w:spacing w:before="320" w:after="120"/>
        <w:pBdr>
          <w:bottom w:val="single" w:sz="6" w:space="4" w:color="1565C0"/>
        </w:pBdr>
      </w:pPr>
      <w:r>
        <w:rPr>
          <w:rFonts w:ascii="Calibri" w:hAnsi="Calibri"/>
          <w:b/>
          <w:color w:val="1565C0"/>
          <w:sz w:val="28"/>
        </w:rPr>
        <w:t>Appendix A — WPS File Format (ANB Bank)</w:t>
      </w:r>
    </w:p>
    <w:p>
      <w:pPr>
        <w:spacing w:before="40" w:after="60"/>
      </w:pPr>
      <w:r>
        <w:rPr>
          <w:rFonts w:ascii="Calibri" w:hAnsi="Calibri"/>
          <w:i w:val="0"/>
          <w:sz w:val="20"/>
        </w:rPr>
        <w:t>Confirmed from WPY25052026001.xlsx. Format: pipe-delimited text. Row 1 = Header (H). Rows 2+ = Detail per employee (D). Source account: ANB-18.</w:t>
      </w:r>
    </w:p>
    <w:p>
      <w:pPr>
        <w:pStyle w:val="Heading2"/>
        <w:spacing w:before="240" w:after="80"/>
      </w:pPr>
      <w:r>
        <w:rPr>
          <w:rFonts w:ascii="Calibri" w:hAnsi="Calibri"/>
          <w:b/>
          <w:color w:val="1A2E3D"/>
          <w:sz w:val="24"/>
        </w:rPr>
        <w:t>A.1  Header Record (H)</w:t>
      </w:r>
    </w:p>
    <w:tbl>
      <w:tblPr>
        <w:tblStyle w:val="TableGrid"/>
        <w:tblW w:type="auto" w:w="0"/>
        <w:tblLook w:firstColumn="1" w:firstRow="1" w:lastColumn="0" w:lastRow="0" w:noHBand="0" w:noVBand="1" w:val="04A0"/>
      </w:tblPr>
      <w:tblGrid>
        <w:gridCol w:w="600"/>
        <w:gridCol w:w="2800"/>
        <w:gridCol w:w="5900"/>
      </w:tblGrid>
      <w:tr>
        <w:tc>
          <w:tcPr>
            <w:tcW w:type="dxa" w:w="600"/>
            <w:shd w:val="clear" w:color="auto" w:fill="1565C0"/>
            <w:tcMar>
              <w:top w:w="60" w:type="dxa"/>
              <w:bottom w:w="60" w:type="dxa"/>
              <w:left w:w="80" w:type="dxa"/>
              <w:right w:w="80" w:type="dxa"/>
            </w:tcMar>
            <w:vAlign w:val="center"/>
          </w:tcPr>
          <w:p>
            <w:r/>
            <w:r>
              <w:rPr>
                <w:rFonts w:ascii="Calibri" w:hAnsi="Calibri"/>
                <w:b/>
                <w:color w:val="FFFFFF"/>
                <w:sz w:val="19"/>
              </w:rPr>
              <w:t>Col</w:t>
            </w:r>
          </w:p>
        </w:tc>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Field</w:t>
            </w:r>
          </w:p>
        </w:tc>
        <w:tc>
          <w:tcPr>
            <w:tcW w:type="dxa" w:w="5900"/>
            <w:shd w:val="clear" w:color="auto" w:fill="1565C0"/>
            <w:tcMar>
              <w:top w:w="60" w:type="dxa"/>
              <w:bottom w:w="60" w:type="dxa"/>
              <w:left w:w="80" w:type="dxa"/>
              <w:right w:w="80" w:type="dxa"/>
            </w:tcMar>
            <w:vAlign w:val="center"/>
          </w:tcPr>
          <w:p>
            <w:r/>
            <w:r>
              <w:rPr>
                <w:rFonts w:ascii="Calibri" w:hAnsi="Calibri"/>
                <w:b/>
                <w:color w:val="FFFFFF"/>
                <w:sz w:val="19"/>
              </w:rPr>
              <w:t>Value</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1</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RecordType</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'H'</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2</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CompanyBankCode</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'ARNB'</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3</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BranchRefCode</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4237</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4</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PaymentType</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'N' (Normal)</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5</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BatchReference</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DDMMYYYY.001</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6</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DebitAccountNo</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ANB-18 account number</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7</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Currency</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'SAR'</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8</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ValueDate</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DDMMYYYY (1 day after transaction)</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9</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TotalBatchAmount</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Sum of all D-Col2</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10</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TransactionDate</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DDMMYYYY</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11</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EmployerRefNo</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'1-92803' (MOL/GOSI)</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12</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Description</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e.g. 'Salary For May 2026'</w:t>
            </w:r>
          </w:p>
        </w:tc>
      </w:tr>
    </w:tbl>
    <w:p>
      <w:pPr>
        <w:spacing w:before="60" w:after="60"/>
      </w:pPr>
    </w:p>
    <w:p>
      <w:pPr>
        <w:pStyle w:val="Heading2"/>
        <w:spacing w:before="240" w:after="80"/>
      </w:pPr>
      <w:r>
        <w:rPr>
          <w:rFonts w:ascii="Calibri" w:hAnsi="Calibri"/>
          <w:b/>
          <w:color w:val="1A2E3D"/>
          <w:sz w:val="24"/>
        </w:rPr>
        <w:t>A.2  Detail Record (D)</w:t>
      </w:r>
    </w:p>
    <w:tbl>
      <w:tblPr>
        <w:tblStyle w:val="TableGrid"/>
        <w:tblW w:type="auto" w:w="0"/>
        <w:tblLook w:firstColumn="1" w:firstRow="1" w:lastColumn="0" w:lastRow="0" w:noHBand="0" w:noVBand="1" w:val="04A0"/>
      </w:tblPr>
      <w:tblGrid>
        <w:gridCol w:w="600"/>
        <w:gridCol w:w="2800"/>
        <w:gridCol w:w="5900"/>
      </w:tblGrid>
      <w:tr>
        <w:tc>
          <w:tcPr>
            <w:tcW w:type="dxa" w:w="600"/>
            <w:shd w:val="clear" w:color="auto" w:fill="1565C0"/>
            <w:tcMar>
              <w:top w:w="60" w:type="dxa"/>
              <w:bottom w:w="60" w:type="dxa"/>
              <w:left w:w="80" w:type="dxa"/>
              <w:right w:w="80" w:type="dxa"/>
            </w:tcMar>
            <w:vAlign w:val="center"/>
          </w:tcPr>
          <w:p>
            <w:r/>
            <w:r>
              <w:rPr>
                <w:rFonts w:ascii="Calibri" w:hAnsi="Calibri"/>
                <w:b/>
                <w:color w:val="FFFFFF"/>
                <w:sz w:val="19"/>
              </w:rPr>
              <w:t>Col</w:t>
            </w:r>
          </w:p>
        </w:tc>
        <w:tc>
          <w:tcPr>
            <w:tcW w:type="dxa" w:w="2800"/>
            <w:shd w:val="clear" w:color="auto" w:fill="1565C0"/>
            <w:tcMar>
              <w:top w:w="60" w:type="dxa"/>
              <w:bottom w:w="60" w:type="dxa"/>
              <w:left w:w="80" w:type="dxa"/>
              <w:right w:w="80" w:type="dxa"/>
            </w:tcMar>
            <w:vAlign w:val="center"/>
          </w:tcPr>
          <w:p>
            <w:r/>
            <w:r>
              <w:rPr>
                <w:rFonts w:ascii="Calibri" w:hAnsi="Calibri"/>
                <w:b/>
                <w:color w:val="FFFFFF"/>
                <w:sz w:val="19"/>
              </w:rPr>
              <w:t>Field</w:t>
            </w:r>
          </w:p>
        </w:tc>
        <w:tc>
          <w:tcPr>
            <w:tcW w:type="dxa" w:w="5900"/>
            <w:shd w:val="clear" w:color="auto" w:fill="1565C0"/>
            <w:tcMar>
              <w:top w:w="60" w:type="dxa"/>
              <w:bottom w:w="60" w:type="dxa"/>
              <w:left w:w="80" w:type="dxa"/>
              <w:right w:w="80" w:type="dxa"/>
            </w:tcMar>
            <w:vAlign w:val="center"/>
          </w:tcPr>
          <w:p>
            <w:r/>
            <w:r>
              <w:rPr>
                <w:rFonts w:ascii="Calibri" w:hAnsi="Calibri"/>
                <w:b/>
                <w:color w:val="FFFFFF"/>
                <w:sz w:val="19"/>
              </w:rPr>
              <w:t>Value</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1</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RecordType</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'D'</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2</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TotalAmount</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Col7+Col8+Col9−Col10</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3</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EmployeeIBAN</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24-char SA IBAN</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4</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EmployeeRef</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e.g. 'EMP-001'</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5</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EmployeeBankCode</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ARNB/RJHI/INMA/SABB/ALBI/RIBL/NCBK</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6</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Description</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Same as H-Col12</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7</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BasicAmount</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Bank reporting (not real accounting)</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8</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HousingAmount</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Bank reporting</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9</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OtherAmount</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OT or additional</w:t>
            </w:r>
          </w:p>
        </w:tc>
      </w:tr>
      <w:tr>
        <w:tc>
          <w:tcPr>
            <w:tcW w:type="dxa" w:w="600"/>
            <w:shd w:val="clear" w:color="auto" w:fill="F5F7FA"/>
            <w:tcMar>
              <w:top w:w="60" w:type="dxa"/>
              <w:bottom w:w="60" w:type="dxa"/>
              <w:left w:w="80" w:type="dxa"/>
              <w:right w:w="80" w:type="dxa"/>
            </w:tcMar>
            <w:vAlign w:val="center"/>
          </w:tcPr>
          <w:p>
            <w:pPr>
              <w:jc w:val="left"/>
            </w:pPr>
            <w:r/>
            <w:r>
              <w:rPr>
                <w:rFonts w:ascii="Calibri" w:hAnsi="Calibri"/>
                <w:b w:val="0"/>
                <w:sz w:val="19"/>
              </w:rPr>
              <w:t>10</w:t>
            </w:r>
          </w:p>
        </w:tc>
        <w:tc>
          <w:tcPr>
            <w:tcW w:type="dxa" w:w="2800"/>
            <w:shd w:val="clear" w:color="auto" w:fill="F5F7FA"/>
            <w:tcMar>
              <w:top w:w="60" w:type="dxa"/>
              <w:bottom w:w="60" w:type="dxa"/>
              <w:left w:w="80" w:type="dxa"/>
              <w:right w:w="80" w:type="dxa"/>
            </w:tcMar>
            <w:vAlign w:val="center"/>
          </w:tcPr>
          <w:p>
            <w:pPr>
              <w:jc w:val="left"/>
            </w:pPr>
            <w:r/>
            <w:r>
              <w:rPr>
                <w:rFonts w:ascii="Calibri" w:hAnsi="Calibri"/>
                <w:b w:val="0"/>
                <w:sz w:val="19"/>
              </w:rPr>
              <w:t>DeductionAmount</w:t>
            </w:r>
          </w:p>
        </w:tc>
        <w:tc>
          <w:tcPr>
            <w:tcW w:type="dxa" w:w="5900"/>
            <w:shd w:val="clear" w:color="auto" w:fill="F5F7FA"/>
            <w:tcMar>
              <w:top w:w="60" w:type="dxa"/>
              <w:bottom w:w="60" w:type="dxa"/>
              <w:left w:w="80" w:type="dxa"/>
              <w:right w:w="80" w:type="dxa"/>
            </w:tcMar>
            <w:vAlign w:val="center"/>
          </w:tcPr>
          <w:p>
            <w:pPr>
              <w:jc w:val="left"/>
            </w:pPr>
            <w:r/>
            <w:r>
              <w:rPr>
                <w:rFonts w:ascii="Calibri" w:hAnsi="Calibri"/>
                <w:b w:val="0"/>
                <w:sz w:val="19"/>
              </w:rPr>
              <w:t>0.00 normally</w:t>
            </w:r>
          </w:p>
        </w:tc>
      </w:tr>
      <w:tr>
        <w:tc>
          <w:tcPr>
            <w:tcW w:type="dxa" w:w="600"/>
            <w:shd w:val="clear" w:color="auto" w:fill="FFFFFF"/>
            <w:tcMar>
              <w:top w:w="60" w:type="dxa"/>
              <w:bottom w:w="60" w:type="dxa"/>
              <w:left w:w="80" w:type="dxa"/>
              <w:right w:w="80" w:type="dxa"/>
            </w:tcMar>
            <w:vAlign w:val="center"/>
          </w:tcPr>
          <w:p>
            <w:pPr>
              <w:jc w:val="left"/>
            </w:pPr>
            <w:r/>
            <w:r>
              <w:rPr>
                <w:rFonts w:ascii="Calibri" w:hAnsi="Calibri"/>
                <w:b w:val="0"/>
                <w:sz w:val="19"/>
              </w:rPr>
              <w:t>11</w:t>
            </w:r>
          </w:p>
        </w:tc>
        <w:tc>
          <w:tcPr>
            <w:tcW w:type="dxa" w:w="2800"/>
            <w:shd w:val="clear" w:color="auto" w:fill="FFFFFF"/>
            <w:tcMar>
              <w:top w:w="60" w:type="dxa"/>
              <w:bottom w:w="60" w:type="dxa"/>
              <w:left w:w="80" w:type="dxa"/>
              <w:right w:w="80" w:type="dxa"/>
            </w:tcMar>
            <w:vAlign w:val="center"/>
          </w:tcPr>
          <w:p>
            <w:pPr>
              <w:jc w:val="left"/>
            </w:pPr>
            <w:r/>
            <w:r>
              <w:rPr>
                <w:rFonts w:ascii="Calibri" w:hAnsi="Calibri"/>
                <w:b w:val="0"/>
                <w:sz w:val="19"/>
              </w:rPr>
              <w:t>NationalID</w:t>
            </w:r>
          </w:p>
        </w:tc>
        <w:tc>
          <w:tcPr>
            <w:tcW w:type="dxa" w:w="5900"/>
            <w:shd w:val="clear" w:color="auto" w:fill="FFFFFF"/>
            <w:tcMar>
              <w:top w:w="60" w:type="dxa"/>
              <w:bottom w:w="60" w:type="dxa"/>
              <w:left w:w="80" w:type="dxa"/>
              <w:right w:w="80" w:type="dxa"/>
            </w:tcMar>
            <w:vAlign w:val="center"/>
          </w:tcPr>
          <w:p>
            <w:pPr>
              <w:jc w:val="left"/>
            </w:pPr>
            <w:r/>
            <w:r>
              <w:rPr>
                <w:rFonts w:ascii="Calibri" w:hAnsi="Calibri"/>
                <w:b w:val="0"/>
                <w:sz w:val="19"/>
              </w:rPr>
              <w:t>Iqama# or Saudi National ID</w:t>
            </w:r>
          </w:p>
        </w:tc>
      </w:tr>
    </w:tbl>
    <w:p>
      <w:pPr>
        <w:spacing w:before="60" w:after="60"/>
      </w:pPr>
    </w:p>
    <w:p>
      <w:pPr>
        <w:spacing w:before="40" w:after="60"/>
      </w:pPr>
      <w:r>
        <w:rPr>
          <w:rFonts w:ascii="Calibri" w:hAnsi="Calibri"/>
          <w:i w:val="0"/>
          <w:sz w:val="20"/>
        </w:rPr>
        <w:t>Rules: Include only WPSAllowed = YES AND BankPortion &gt; 0. Exclude Outsource category.</w:t>
      </w:r>
    </w:p>
    <w:p>
      <w:pPr>
        <w:pStyle w:val="Heading1"/>
        <w:spacing w:before="320" w:after="120"/>
        <w:pBdr>
          <w:bottom w:val="single" w:sz="6" w:space="4" w:color="1565C0"/>
        </w:pBdr>
      </w:pPr>
      <w:r>
        <w:rPr>
          <w:rFonts w:ascii="Calibri" w:hAnsi="Calibri"/>
          <w:b/>
          <w:color w:val="1565C0"/>
          <w:sz w:val="28"/>
        </w:rPr>
        <w:t>Appendix B — Contractor / Customer Classification Rules</w:t>
      </w:r>
    </w:p>
    <w:tbl>
      <w:tblPr>
        <w:tblStyle w:val="TableGrid"/>
        <w:tblW w:type="auto" w:w="0"/>
        <w:tblLook w:firstColumn="1" w:firstRow="1" w:lastColumn="0" w:lastRow="0" w:noHBand="0" w:noVBand="1" w:val="04A0"/>
      </w:tblPr>
      <w:tblGrid>
        <w:gridCol w:w="2200"/>
        <w:gridCol w:w="4000"/>
        <w:gridCol w:w="3100"/>
      </w:tblGrid>
      <w:tr>
        <w:tc>
          <w:tcPr>
            <w:tcW w:type="dxa" w:w="2200"/>
            <w:shd w:val="clear" w:color="auto" w:fill="1565C0"/>
            <w:tcMar>
              <w:top w:w="60" w:type="dxa"/>
              <w:bottom w:w="60" w:type="dxa"/>
              <w:left w:w="80" w:type="dxa"/>
              <w:right w:w="80" w:type="dxa"/>
            </w:tcMar>
            <w:vAlign w:val="center"/>
          </w:tcPr>
          <w:p>
            <w:r/>
            <w:r>
              <w:rPr>
                <w:rFonts w:ascii="Calibri" w:hAnsi="Calibri"/>
                <w:b/>
                <w:color w:val="FFFFFF"/>
                <w:sz w:val="19"/>
              </w:rPr>
              <w:t>Term</w:t>
            </w:r>
          </w:p>
        </w:tc>
        <w:tc>
          <w:tcPr>
            <w:tcW w:type="dxa" w:w="4000"/>
            <w:shd w:val="clear" w:color="auto" w:fill="1565C0"/>
            <w:tcMar>
              <w:top w:w="60" w:type="dxa"/>
              <w:bottom w:w="60" w:type="dxa"/>
              <w:left w:w="80" w:type="dxa"/>
              <w:right w:w="80" w:type="dxa"/>
            </w:tcMar>
            <w:vAlign w:val="center"/>
          </w:tcPr>
          <w:p>
            <w:r/>
            <w:r>
              <w:rPr>
                <w:rFonts w:ascii="Calibri" w:hAnsi="Calibri"/>
                <w:b/>
                <w:color w:val="FFFFFF"/>
                <w:sz w:val="19"/>
              </w:rPr>
              <w:t>Definition</w:t>
            </w:r>
          </w:p>
        </w:tc>
        <w:tc>
          <w:tcPr>
            <w:tcW w:type="dxa" w:w="3100"/>
            <w:shd w:val="clear" w:color="auto" w:fill="1565C0"/>
            <w:tcMar>
              <w:top w:w="60" w:type="dxa"/>
              <w:bottom w:w="60" w:type="dxa"/>
              <w:left w:w="80" w:type="dxa"/>
              <w:right w:w="80" w:type="dxa"/>
            </w:tcMar>
            <w:vAlign w:val="center"/>
          </w:tcPr>
          <w:p>
            <w:r/>
            <w:r>
              <w:rPr>
                <w:rFonts w:ascii="Calibri" w:hAnsi="Calibri"/>
                <w:b/>
                <w:color w:val="FFFFFF"/>
                <w:sz w:val="19"/>
              </w:rPr>
              <w:t>Examples</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sz w:val="19"/>
              </w:rPr>
              <w:t>End Customer</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Tier 1 — owns the network. NO direct Ratal contract.</w:t>
            </w:r>
          </w:p>
        </w:tc>
        <w:tc>
          <w:tcPr>
            <w:tcW w:type="dxa" w:w="3100"/>
            <w:shd w:val="clear" w:color="auto" w:fill="FFFFFF"/>
            <w:tcMar>
              <w:top w:w="60" w:type="dxa"/>
              <w:bottom w:w="60" w:type="dxa"/>
              <w:left w:w="80" w:type="dxa"/>
              <w:right w:w="80" w:type="dxa"/>
            </w:tcMar>
            <w:vAlign w:val="center"/>
          </w:tcPr>
          <w:p>
            <w:pPr>
              <w:jc w:val="left"/>
            </w:pPr>
            <w:r/>
            <w:r>
              <w:rPr>
                <w:rFonts w:ascii="Calibri" w:hAnsi="Calibri"/>
                <w:b w:val="0"/>
                <w:sz w:val="19"/>
              </w:rPr>
              <w:t>STC, Mobily, Zain, TAWAL, Ministries, Banks</w:t>
            </w:r>
          </w:p>
        </w:tc>
      </w:tr>
      <w:tr>
        <w:tc>
          <w:tcPr>
            <w:tcW w:type="dxa" w:w="2200"/>
            <w:shd w:val="clear" w:color="auto" w:fill="F5F7FA"/>
            <w:tcMar>
              <w:top w:w="60" w:type="dxa"/>
              <w:bottom w:w="60" w:type="dxa"/>
              <w:left w:w="80" w:type="dxa"/>
              <w:right w:w="80" w:type="dxa"/>
            </w:tcMar>
            <w:vAlign w:val="center"/>
          </w:tcPr>
          <w:p>
            <w:pPr>
              <w:jc w:val="left"/>
            </w:pPr>
            <w:r/>
            <w:r>
              <w:rPr>
                <w:rFonts w:ascii="Calibri" w:hAnsi="Calibri"/>
                <w:b/>
                <w:sz w:val="19"/>
              </w:rPr>
              <w:t>Contractor</w:t>
            </w:r>
          </w:p>
        </w:tc>
        <w:tc>
          <w:tcPr>
            <w:tcW w:type="dxa" w:w="4000"/>
            <w:shd w:val="clear" w:color="auto" w:fill="F5F7FA"/>
            <w:tcMar>
              <w:top w:w="60" w:type="dxa"/>
              <w:bottom w:w="60" w:type="dxa"/>
              <w:left w:w="80" w:type="dxa"/>
              <w:right w:w="80" w:type="dxa"/>
            </w:tcMar>
            <w:vAlign w:val="center"/>
          </w:tcPr>
          <w:p>
            <w:pPr>
              <w:jc w:val="left"/>
            </w:pPr>
            <w:r/>
            <w:r>
              <w:rPr>
                <w:rFonts w:ascii="Calibri" w:hAnsi="Calibri"/>
                <w:b w:val="0"/>
                <w:sz w:val="19"/>
              </w:rPr>
              <w:t>Tier 2 — issues POs to Ratal. RATAL INVOICES THIS TIER.</w:t>
            </w:r>
          </w:p>
        </w:tc>
        <w:tc>
          <w:tcPr>
            <w:tcW w:type="dxa" w:w="3100"/>
            <w:shd w:val="clear" w:color="auto" w:fill="F5F7FA"/>
            <w:tcMar>
              <w:top w:w="60" w:type="dxa"/>
              <w:bottom w:w="60" w:type="dxa"/>
              <w:left w:w="80" w:type="dxa"/>
              <w:right w:w="80" w:type="dxa"/>
            </w:tcMar>
            <w:vAlign w:val="center"/>
          </w:tcPr>
          <w:p>
            <w:pPr>
              <w:jc w:val="left"/>
            </w:pPr>
            <w:r/>
            <w:r>
              <w:rPr>
                <w:rFonts w:ascii="Calibri" w:hAnsi="Calibri"/>
                <w:b w:val="0"/>
                <w:sz w:val="19"/>
              </w:rPr>
              <w:t>Nokia, Cisco, Huawei, ZTE, SBM, BMC, MIS, Solutions</w:t>
            </w:r>
          </w:p>
        </w:tc>
      </w:tr>
      <w:tr>
        <w:tc>
          <w:tcPr>
            <w:tcW w:type="dxa" w:w="2200"/>
            <w:shd w:val="clear" w:color="auto" w:fill="FFFFFF"/>
            <w:tcMar>
              <w:top w:w="60" w:type="dxa"/>
              <w:bottom w:w="60" w:type="dxa"/>
              <w:left w:w="80" w:type="dxa"/>
              <w:right w:w="80" w:type="dxa"/>
            </w:tcMar>
            <w:vAlign w:val="center"/>
          </w:tcPr>
          <w:p>
            <w:pPr>
              <w:jc w:val="left"/>
            </w:pPr>
            <w:r/>
            <w:r>
              <w:rPr>
                <w:rFonts w:ascii="Calibri" w:hAnsi="Calibri"/>
                <w:b/>
                <w:sz w:val="19"/>
              </w:rPr>
              <w:t>Ratal ACCSYS</w:t>
            </w:r>
          </w:p>
        </w:tc>
        <w:tc>
          <w:tcPr>
            <w:tcW w:type="dxa" w:w="4000"/>
            <w:shd w:val="clear" w:color="auto" w:fill="FFFFFF"/>
            <w:tcMar>
              <w:top w:w="60" w:type="dxa"/>
              <w:bottom w:w="60" w:type="dxa"/>
              <w:left w:w="80" w:type="dxa"/>
              <w:right w:w="80" w:type="dxa"/>
            </w:tcMar>
            <w:vAlign w:val="center"/>
          </w:tcPr>
          <w:p>
            <w:pPr>
              <w:jc w:val="left"/>
            </w:pPr>
            <w:r/>
            <w:r>
              <w:rPr>
                <w:rFonts w:ascii="Calibri" w:hAnsi="Calibri"/>
                <w:b w:val="0"/>
                <w:sz w:val="19"/>
              </w:rPr>
              <w:t>Tier 3 — executes work. Issues ACC-PO-XXXX outward.</w:t>
            </w:r>
          </w:p>
        </w:tc>
        <w:tc>
          <w:tcPr>
            <w:tcW w:type="dxa" w:w="3100"/>
            <w:shd w:val="clear" w:color="auto" w:fill="FFFFFF"/>
            <w:tcMar>
              <w:top w:w="60" w:type="dxa"/>
              <w:bottom w:w="60" w:type="dxa"/>
              <w:left w:w="80" w:type="dxa"/>
              <w:right w:w="80" w:type="dxa"/>
            </w:tcMar>
            <w:vAlign w:val="center"/>
          </w:tcPr>
          <w:p>
            <w:pPr>
              <w:jc w:val="left"/>
            </w:pPr>
            <w:r/>
            <w:r>
              <w:rPr>
                <w:rFonts w:ascii="Calibri" w:hAnsi="Calibri"/>
                <w:b w:val="0"/>
                <w:sz w:val="19"/>
              </w:rPr>
              <w:t>Ratal Group</w:t>
            </w:r>
          </w:p>
        </w:tc>
      </w:tr>
    </w:tbl>
    <w:p>
      <w:pPr>
        <w:spacing w:before="60" w:after="60"/>
      </w:pPr>
    </w:p>
    <w:p>
      <w:pPr>
        <w:spacing w:before="40" w:after="60"/>
      </w:pPr>
      <w:r>
        <w:rPr>
          <w:rFonts w:ascii="Calibri" w:hAnsi="Calibri"/>
          <w:i w:val="0"/>
          <w:sz w:val="20"/>
        </w:rPr>
        <w:t>Invoice Rule: Always invoice Contractor (Tier 2) with Contractor PO# reference. End Customer Job# = additional reference only.</w:t>
      </w:r>
    </w:p>
    <w:tbl>
      <w:tblPr>
        <w:tblStyle w:val="TableGrid"/>
        <w:tblW w:type="auto" w:w="0"/>
        <w:tblLook w:firstColumn="1" w:firstRow="1" w:lastColumn="0" w:lastRow="0" w:noHBand="0" w:noVBand="1" w:val="04A0"/>
      </w:tblPr>
      <w:tblGrid>
        <w:gridCol w:w="2500"/>
        <w:gridCol w:w="3000"/>
        <w:gridCol w:w="3800"/>
      </w:tblGrid>
      <w:tr>
        <w:tc>
          <w:tcPr>
            <w:tcW w:type="dxa" w:w="2500"/>
            <w:shd w:val="clear" w:color="auto" w:fill="1565C0"/>
            <w:tcMar>
              <w:top w:w="60" w:type="dxa"/>
              <w:bottom w:w="60" w:type="dxa"/>
              <w:left w:w="80" w:type="dxa"/>
              <w:right w:w="80" w:type="dxa"/>
            </w:tcMar>
            <w:vAlign w:val="center"/>
          </w:tcPr>
          <w:p>
            <w:r/>
            <w:r>
              <w:rPr>
                <w:rFonts w:ascii="Calibri" w:hAnsi="Calibri"/>
                <w:b/>
                <w:color w:val="FFFFFF"/>
                <w:sz w:val="19"/>
              </w:rPr>
              <w:t>Reference#</w:t>
            </w:r>
          </w:p>
        </w:tc>
        <w:tc>
          <w:tcPr>
            <w:tcW w:type="dxa" w:w="3000"/>
            <w:shd w:val="clear" w:color="auto" w:fill="1565C0"/>
            <w:tcMar>
              <w:top w:w="60" w:type="dxa"/>
              <w:bottom w:w="60" w:type="dxa"/>
              <w:left w:w="80" w:type="dxa"/>
              <w:right w:w="80" w:type="dxa"/>
            </w:tcMar>
            <w:vAlign w:val="center"/>
          </w:tcPr>
          <w:p>
            <w:r/>
            <w:r>
              <w:rPr>
                <w:rFonts w:ascii="Calibri" w:hAnsi="Calibri"/>
                <w:b/>
                <w:color w:val="FFFFFF"/>
                <w:sz w:val="19"/>
              </w:rPr>
              <w:t>Exists For</w:t>
            </w:r>
          </w:p>
        </w:tc>
        <w:tc>
          <w:tcPr>
            <w:tcW w:type="dxa" w:w="3800"/>
            <w:shd w:val="clear" w:color="auto" w:fill="1565C0"/>
            <w:tcMar>
              <w:top w:w="60" w:type="dxa"/>
              <w:bottom w:w="60" w:type="dxa"/>
              <w:left w:w="80" w:type="dxa"/>
              <w:right w:w="80" w:type="dxa"/>
            </w:tcMar>
            <w:vAlign w:val="center"/>
          </w:tcPr>
          <w:p>
            <w:r/>
            <w:r>
              <w:rPr>
                <w:rFonts w:ascii="Calibri" w:hAnsi="Calibri"/>
                <w:b/>
                <w:color w:val="FFFFFF"/>
                <w:sz w:val="19"/>
              </w:rPr>
              <w:t>Required On</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Job# / RFC#</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STC, Mobily, Zain (telecom sector only)</w:t>
            </w:r>
          </w:p>
        </w:tc>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Stored as additional reference — NOT on invoice</w:t>
            </w:r>
          </w:p>
        </w:tc>
      </w:tr>
      <w:tr>
        <w:tc>
          <w:tcPr>
            <w:tcW w:type="dxa" w:w="2500"/>
            <w:shd w:val="clear" w:color="auto" w:fill="F5F7FA"/>
            <w:tcMar>
              <w:top w:w="60" w:type="dxa"/>
              <w:bottom w:w="60" w:type="dxa"/>
              <w:left w:w="80" w:type="dxa"/>
              <w:right w:w="80" w:type="dxa"/>
            </w:tcMar>
            <w:vAlign w:val="center"/>
          </w:tcPr>
          <w:p>
            <w:pPr>
              <w:jc w:val="left"/>
            </w:pPr>
            <w:r/>
            <w:r>
              <w:rPr>
                <w:rFonts w:ascii="Calibri" w:hAnsi="Calibri"/>
                <w:b w:val="0"/>
                <w:sz w:val="19"/>
              </w:rPr>
              <w:t>ContractorPONo</w:t>
            </w:r>
          </w:p>
        </w:tc>
        <w:tc>
          <w:tcPr>
            <w:tcW w:type="dxa" w:w="3000"/>
            <w:shd w:val="clear" w:color="auto" w:fill="F5F7FA"/>
            <w:tcMar>
              <w:top w:w="60" w:type="dxa"/>
              <w:bottom w:w="60" w:type="dxa"/>
              <w:left w:w="80" w:type="dxa"/>
              <w:right w:w="80" w:type="dxa"/>
            </w:tcMar>
            <w:vAlign w:val="center"/>
          </w:tcPr>
          <w:p>
            <w:pPr>
              <w:jc w:val="left"/>
            </w:pPr>
            <w:r/>
            <w:r>
              <w:rPr>
                <w:rFonts w:ascii="Calibri" w:hAnsi="Calibri"/>
                <w:b w:val="0"/>
                <w:sz w:val="19"/>
              </w:rPr>
              <w:t>ALL projects</w:t>
            </w:r>
          </w:p>
        </w:tc>
        <w:tc>
          <w:tcPr>
            <w:tcW w:type="dxa" w:w="3800"/>
            <w:shd w:val="clear" w:color="auto" w:fill="F5F7FA"/>
            <w:tcMar>
              <w:top w:w="60" w:type="dxa"/>
              <w:bottom w:w="60" w:type="dxa"/>
              <w:left w:w="80" w:type="dxa"/>
              <w:right w:w="80" w:type="dxa"/>
            </w:tcMar>
            <w:vAlign w:val="center"/>
          </w:tcPr>
          <w:p>
            <w:pPr>
              <w:jc w:val="left"/>
            </w:pPr>
            <w:r/>
            <w:r>
              <w:rPr>
                <w:rFonts w:ascii="Calibri" w:hAnsi="Calibri"/>
                <w:b w:val="0"/>
                <w:sz w:val="19"/>
              </w:rPr>
              <w:t>REQUIRED on every Ratal invoice</w:t>
            </w:r>
          </w:p>
        </w:tc>
      </w:tr>
      <w:tr>
        <w:tc>
          <w:tcPr>
            <w:tcW w:type="dxa" w:w="2500"/>
            <w:shd w:val="clear" w:color="auto" w:fill="FFFFFF"/>
            <w:tcMar>
              <w:top w:w="60" w:type="dxa"/>
              <w:bottom w:w="60" w:type="dxa"/>
              <w:left w:w="80" w:type="dxa"/>
              <w:right w:w="80" w:type="dxa"/>
            </w:tcMar>
            <w:vAlign w:val="center"/>
          </w:tcPr>
          <w:p>
            <w:pPr>
              <w:jc w:val="left"/>
            </w:pPr>
            <w:r/>
            <w:r>
              <w:rPr>
                <w:rFonts w:ascii="Calibri" w:hAnsi="Calibri"/>
                <w:b w:val="0"/>
                <w:sz w:val="19"/>
              </w:rPr>
              <w:t>ACC-PO-XXXX</w:t>
            </w:r>
          </w:p>
        </w:tc>
        <w:tc>
          <w:tcPr>
            <w:tcW w:type="dxa" w:w="3000"/>
            <w:shd w:val="clear" w:color="auto" w:fill="FFFFFF"/>
            <w:tcMar>
              <w:top w:w="60" w:type="dxa"/>
              <w:bottom w:w="60" w:type="dxa"/>
              <w:left w:w="80" w:type="dxa"/>
              <w:right w:w="80" w:type="dxa"/>
            </w:tcMar>
            <w:vAlign w:val="center"/>
          </w:tcPr>
          <w:p>
            <w:pPr>
              <w:jc w:val="left"/>
            </w:pPr>
            <w:r/>
            <w:r>
              <w:rPr>
                <w:rFonts w:ascii="Calibri" w:hAnsi="Calibri"/>
                <w:b w:val="0"/>
                <w:sz w:val="19"/>
              </w:rPr>
              <w:t>Ratal outgoing POs to sub-cons/suppliers</w:t>
            </w:r>
          </w:p>
        </w:tc>
        <w:tc>
          <w:tcPr>
            <w:tcW w:type="dxa" w:w="3800"/>
            <w:shd w:val="clear" w:color="auto" w:fill="FFFFFF"/>
            <w:tcMar>
              <w:top w:w="60" w:type="dxa"/>
              <w:bottom w:w="60" w:type="dxa"/>
              <w:left w:w="80" w:type="dxa"/>
              <w:right w:w="80" w:type="dxa"/>
            </w:tcMar>
            <w:vAlign w:val="center"/>
          </w:tcPr>
          <w:p>
            <w:pPr>
              <w:jc w:val="left"/>
            </w:pPr>
            <w:r/>
            <w:r>
              <w:rPr>
                <w:rFonts w:ascii="Calibri" w:hAnsi="Calibri"/>
                <w:b w:val="0"/>
                <w:sz w:val="19"/>
              </w:rPr>
              <w:t>Required before any sub-con/supplier payment</w:t>
            </w:r>
          </w:p>
        </w:tc>
      </w:tr>
    </w:tbl>
    <w:p>
      <w:pPr>
        <w:spacing w:before="60" w:after="60"/>
      </w:pPr>
    </w:p>
    <w:p>
      <w:r>
        <w:br w:type="page"/>
      </w:r>
    </w:p>
    <w:p>
      <w:pPr>
        <w:jc w:val="center"/>
        <w:spacing w:before="400" w:after="100"/>
      </w:pPr>
      <w:r>
        <w:rPr>
          <w:rFonts w:ascii="Calibri" w:hAnsi="Calibri"/>
          <w:b/>
          <w:color w:val="2E7D32"/>
          <w:sz w:val="44"/>
        </w:rPr>
        <w:t>SITE MASTER &amp; BUDGET VS ACTUAL FRAMEWORK</w:t>
      </w:r>
    </w:p>
    <w:p>
      <w:pPr>
        <w:jc w:val="center"/>
        <w:spacing w:before="60" w:after="80"/>
        <w:pBdr>
          <w:bottom w:val="single" w:sz="6" w:space="4" w:color="2E7D32"/>
        </w:pBdr>
      </w:pPr>
    </w:p>
    <w:p>
      <w:pPr>
        <w:jc w:val="center"/>
        <w:spacing w:before="80" w:after="400"/>
      </w:pPr>
      <w:r>
        <w:rPr>
          <w:rFonts w:ascii="Calibri" w:hAnsi="Calibri"/>
          <w:i/>
          <w:color w:val="6B7C93"/>
          <w:sz w:val="22"/>
        </w:rPr>
        <w:t>Operational &amp; Financial Control Framework  |  NISU · TISU · CISU · ITSU  |  All 10 Questions Resolved</w:t>
      </w:r>
    </w:p>
    <w:p>
      <w:r>
        <w:br w:type="page"/>
      </w:r>
    </w:p>
    <w:p>
      <w:pPr>
        <w:spacing w:after="200" w:before="1200"/>
        <w:jc w:val="center"/>
      </w:pPr>
      <w:r>
        <w:rPr>
          <w:rFonts w:ascii="Inter" w:cs="Inter" w:eastAsia="Inter" w:hAnsi="Inter"/>
          <w:b/>
          <w:bCs/>
          <w:color w:val="1565C0"/>
          <w:sz w:val="52"/>
          <w:szCs w:val="52"/>
        </w:rPr>
        <w:t xml:space="preserve">RATAL GROUP</w:t>
      </w:r>
    </w:p>
    <w:p>
      <w:pPr>
        <w:spacing w:after="100" w:before="0"/>
        <w:jc w:val="center"/>
      </w:pPr>
      <w:r>
        <w:rPr>
          <w:rFonts w:ascii="Inter" w:cs="Inter" w:eastAsia="Inter" w:hAnsi="Inter"/>
          <w:color w:val="6B7C93"/>
          <w:sz w:val="28"/>
          <w:szCs w:val="28"/>
        </w:rPr>
        <w:t xml:space="preserve">Travel &amp; Corporate Management System</w:t>
      </w:r>
    </w:p>
    <w:p>
      <w:pPr>
        <w:pBdr>
          <w:bottom w:val="single" w:color="FF385C" w:sz="4"/>
        </w:pBdr>
        <w:spacing w:after="80" w:before="200"/>
        <w:jc w:val="center"/>
      </w:pPr>
      <w:r>
        <w:t xml:space="preserve"/>
      </w:r>
    </w:p>
    <w:p>
      <w:pPr>
        <w:spacing w:after="160" w:before="400"/>
        <w:jc w:val="center"/>
      </w:pPr>
      <w:r>
        <w:rPr>
          <w:rFonts w:ascii="Inter" w:cs="Inter" w:eastAsia="Inter" w:hAnsi="Inter"/>
          <w:b/>
          <w:bCs/>
          <w:color w:val="1A2E3D"/>
          <w:sz w:val="44"/>
          <w:szCs w:val="44"/>
        </w:rPr>
        <w:t xml:space="preserve">SITE MASTER &amp; BUDGET VS ACTUAL</w:t>
      </w:r>
    </w:p>
    <w:p>
      <w:pPr>
        <w:spacing w:after="100" w:before="0"/>
        <w:jc w:val="center"/>
      </w:pPr>
      <w:r>
        <w:rPr>
          <w:rFonts w:ascii="Inter" w:cs="Inter" w:eastAsia="Inter" w:hAnsi="Inter"/>
          <w:color w:val="1565C0"/>
          <w:sz w:val="28"/>
          <w:szCs w:val="28"/>
        </w:rPr>
        <w:t xml:space="preserve">Operational &amp; Financial Control Framework</w:t>
      </w:r>
    </w:p>
    <w:p>
      <w:pPr>
        <w:spacing w:after="60" w:before="0"/>
        <w:jc w:val="center"/>
      </w:pPr>
      <w:r>
        <w:rPr>
          <w:rFonts w:ascii="Inter" w:cs="Inter" w:eastAsia="Inter" w:hAnsi="Inter"/>
          <w:i/>
          <w:iCs/>
          <w:color w:val="6B7C93"/>
          <w:sz w:val="22"/>
          <w:szCs w:val="22"/>
        </w:rPr>
        <w:t xml:space="preserve">Covering: NISU · TISU · CISU · ITSU</w:t>
      </w:r>
    </w:p>
    <w:p>
      <w:pPr>
        <w:spacing w:after="40" w:before="200"/>
        <w:jc w:val="center"/>
      </w:pPr>
      <w:r>
        <w:rPr>
          <w:rFonts w:ascii="Inter" w:cs="Inter" w:eastAsia="Inter" w:hAnsi="Inter"/>
          <w:color w:val="999999"/>
          <w:sz w:val="18"/>
          <w:szCs w:val="18"/>
        </w:rPr>
        <w:t xml:space="preserve">Version 2.0  |  July 2026  |  CONFIDENTIAL</w:t>
      </w:r>
    </w:p>
    <w:p>
      <w:pPr>
        <w:spacing w:after="0" w:before="0"/>
        <w:jc w:val="center"/>
      </w:pPr>
      <w:r>
        <w:rPr>
          <w:rFonts w:ascii="Inter" w:cs="Inter" w:eastAsia="Inter" w:hAnsi="Inter"/>
          <w:b/>
          <w:bCs/>
          <w:color w:val="2E7D32"/>
          <w:sz w:val="18"/>
          <w:szCs w:val="18"/>
        </w:rPr>
        <w:t xml:space="preserve">All open questions resolved — ready for coding phase</w:t>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1.  Executive Summary</w:t>
      </w:r>
    </w:p>
    <w:p>
      <w:pPr>
        <w:spacing w:after="80" w:before="60"/>
      </w:pPr>
      <w:r>
        <w:rPr>
          <w:rFonts w:ascii="Inter" w:cs="Inter" w:eastAsia="Inter" w:hAnsi="Inter"/>
          <w:color w:val="1A2E3D"/>
          <w:sz w:val="20"/>
          <w:szCs w:val="20"/>
        </w:rPr>
        <w:t xml:space="preserve">Ratal Group delivers telecom and civil infrastructure services across Saudi Arabia as a sub-contractor to main contractors (Nokia, Huawei, Cisco, ZTE) whose end-clients are STC, TAWAL, Mobily, and Zain.</w:t>
      </w:r>
    </w:p>
    <w:p>
      <w:pPr>
        <w:spacing w:after="80" w:before="60"/>
      </w:pPr>
      <w:r>
        <w:rPr>
          <w:rFonts w:ascii="Inter" w:cs="Inter" w:eastAsia="Inter" w:hAnsi="Inter"/>
          <w:color w:val="1A2E3D"/>
          <w:sz w:val="20"/>
          <w:szCs w:val="20"/>
        </w:rPr>
        <w:t xml:space="preserve">Revenue is earned against Contractor Purchase Orders (POs). Costs arise from sub-contractors, material suppliers, internal manpower, and field expenses. Today these are tracked in Excel VBA — fragmented across ledgers, payment forms, and journals with no real-time view of profitability per site or job.</w:t>
      </w:r>
    </w:p>
    <w:p>
      <w:pPr>
        <w:spacing w:after="80" w:before="60"/>
      </w:pPr>
      <w:r>
        <w:rPr>
          <w:rFonts w:ascii="Inter" w:cs="Inter" w:eastAsia="Inter" w:hAnsi="Inter"/>
          <w:color w:val="1A2E3D"/>
          <w:sz w:val="20"/>
          <w:szCs w:val="20"/>
        </w:rPr>
        <w:t xml:space="preserve">This document (Version 2.0) incorporates confirmed answers to all 10 open questions raised in v1.0. It defines the final data model, business rules, and form specification for the Site Master module — the unified digital record binding the Contractor PO to every cost element for each site/job.</w:t>
      </w:r>
    </w:p>
    <w:p>
      <w:pPr>
        <w:spacing w:after="80" w:before="60"/>
      </w:pPr>
      <w:r>
        <w:rPr>
          <w:rFonts w:ascii="Inter" w:cs="Inter" w:eastAsia="Inter" w:hAnsi="Inter"/>
          <w:color w:val="1A2E3D"/>
          <w:sz w:val="20"/>
          <w:szCs w:val="20"/>
        </w:rPr>
        <w:t xml:space="preserve">Key confirmed decisions:</w:t>
      </w:r>
    </w:p>
    <w:p>
      <w:pPr>
        <w:pStyle w:val="ListParagraph"/>
        <w:numPr>
          <w:ilvl w:val="0"/>
          <w:numId w:val="1"/>
        </w:numPr>
        <w:spacing w:after="40" w:before="40"/>
      </w:pPr>
      <w:r>
        <w:rPr>
          <w:rFonts w:ascii="Inter" w:cs="Inter" w:eastAsia="Inter" w:hAnsi="Inter"/>
          <w:color w:val="1A2E3D"/>
          <w:sz w:val="20"/>
          <w:szCs w:val="20"/>
        </w:rPr>
        <w:t xml:space="preserve">Site Master scope is one-to-one: 1 Job# (NISU) = 1 Site Master; 1 Tower (TISU) = 1 Site Master.</w:t>
      </w:r>
    </w:p>
    <w:p>
      <w:pPr>
        <w:pStyle w:val="ListParagraph"/>
        <w:numPr>
          <w:ilvl w:val="0"/>
          <w:numId w:val="1"/>
        </w:numPr>
        <w:spacing w:after="40" w:before="40"/>
      </w:pPr>
      <w:r>
        <w:rPr>
          <w:rFonts w:ascii="Inter" w:cs="Inter" w:eastAsia="Inter" w:hAnsi="Inter"/>
          <w:color w:val="1A2E3D"/>
          <w:sz w:val="20"/>
          <w:szCs w:val="20"/>
        </w:rPr>
        <w:t xml:space="preserve">Budget is locked on approval. Variations are tracked as actual cost overruns — budget is not amended.</w:t>
      </w:r>
    </w:p>
    <w:p>
      <w:pPr>
        <w:pStyle w:val="ListParagraph"/>
        <w:numPr>
          <w:ilvl w:val="0"/>
          <w:numId w:val="1"/>
        </w:numPr>
        <w:spacing w:after="40" w:before="40"/>
      </w:pPr>
      <w:r>
        <w:rPr>
          <w:rFonts w:ascii="Inter" w:cs="Inter" w:eastAsia="Inter" w:hAnsi="Inter"/>
          <w:color w:val="1A2E3D"/>
          <w:sz w:val="20"/>
          <w:szCs w:val="20"/>
        </w:rPr>
        <w:t xml:space="preserve">CISU spans five distinct work types, each with its own billing mechanism.</w:t>
      </w:r>
    </w:p>
    <w:p>
      <w:pPr>
        <w:pStyle w:val="ListParagraph"/>
        <w:numPr>
          <w:ilvl w:val="0"/>
          <w:numId w:val="1"/>
        </w:numPr>
        <w:spacing w:after="40" w:before="40"/>
      </w:pPr>
      <w:r>
        <w:rPr>
          <w:rFonts w:ascii="Inter" w:cs="Inter" w:eastAsia="Inter" w:hAnsi="Inter"/>
          <w:color w:val="1A2E3D"/>
          <w:sz w:val="20"/>
          <w:szCs w:val="20"/>
        </w:rPr>
        <w:t xml:space="preserve">ITSU bills per Charter (SOW). Client mechanisms vary.</w:t>
      </w:r>
    </w:p>
    <w:p>
      <w:pPr>
        <w:pStyle w:val="ListParagraph"/>
        <w:numPr>
          <w:ilvl w:val="0"/>
          <w:numId w:val="1"/>
        </w:numPr>
        <w:spacing w:after="40" w:before="40"/>
      </w:pPr>
      <w:r>
        <w:rPr>
          <w:rFonts w:ascii="Inter" w:cs="Inter" w:eastAsia="Inter" w:hAnsi="Inter"/>
          <w:color w:val="1A2E3D"/>
          <w:sz w:val="20"/>
          <w:szCs w:val="20"/>
        </w:rPr>
        <w:t xml:space="preserve">Ratal outgoing POs follow the format ACC-PO-XXXX. Contractor incoming POs are stored under the Purchase Orders tab.</w:t>
      </w:r>
    </w:p>
    <w:p>
      <w:pPr>
        <w:pStyle w:val="ListParagraph"/>
        <w:numPr>
          <w:ilvl w:val="0"/>
          <w:numId w:val="1"/>
        </w:numPr>
        <w:spacing w:after="40" w:before="40"/>
      </w:pPr>
      <w:r>
        <w:rPr>
          <w:rFonts w:ascii="Inter" w:cs="Inter" w:eastAsia="Inter" w:hAnsi="Inter"/>
          <w:color w:val="1A2E3D"/>
          <w:sz w:val="20"/>
          <w:szCs w:val="20"/>
        </w:rPr>
        <w:t xml:space="preserve">Payment terms are per-party by category, not a fixed standard.</w:t>
      </w:r>
    </w:p>
    <w:p>
      <w:pPr>
        <w:spacing w:after="80" w:before="80"/>
      </w:pPr>
      <w:r>
        <w:t xml:space="preserve"/>
      </w:r>
    </w:p>
    <w:p>
      <w:pPr>
        <w:pStyle w:val="Heading1"/>
        <w:pBdr>
          <w:bottom w:val="single" w:color="1565C0" w:sz="4" w:space="4"/>
        </w:pBdr>
        <w:spacing w:after="160" w:before="400"/>
      </w:pPr>
      <w:r>
        <w:rPr>
          <w:rFonts w:ascii="Inter" w:cs="Inter" w:eastAsia="Inter" w:hAnsi="Inter"/>
          <w:b/>
          <w:bCs/>
          <w:color w:val="1A2E3D"/>
          <w:sz w:val="32"/>
          <w:szCs w:val="32"/>
        </w:rPr>
        <w:t xml:space="preserve">2.  Business Model &amp; Revenue Structure</w:t>
      </w:r>
    </w:p>
    <w:p>
      <w:pPr>
        <w:pStyle w:val="Heading2"/>
        <w:spacing w:after="120" w:before="320"/>
      </w:pPr>
      <w:r>
        <w:rPr>
          <w:rFonts w:ascii="Inter" w:cs="Inter" w:eastAsia="Inter" w:hAnsi="Inter"/>
          <w:b/>
          <w:bCs/>
          <w:color w:val="1565C0"/>
          <w:sz w:val="26"/>
          <w:szCs w:val="26"/>
        </w:rPr>
        <w:t xml:space="preserve">2.1  The Contracting Chain</w:t>
      </w:r>
    </w:p>
    <w:p>
      <w:pPr>
        <w:spacing w:after="80" w:before="60"/>
      </w:pPr>
      <w:r>
        <w:rPr>
          <w:rFonts w:ascii="Inter" w:cs="Inter" w:eastAsia="Inter" w:hAnsi="Inter"/>
          <w:color w:val="1A2E3D"/>
          <w:sz w:val="20"/>
          <w:szCs w:val="20"/>
        </w:rPr>
        <w:t xml:space="preserve">Ratal Group sits at tier 2 in a three-tier delivery chain: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Tier</w:t>
            </w:r>
          </w:p>
        </w:tc>
        <w:tc>
          <w:tcPr>
            <w:tcW w:type="dxa" w:w="3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Party</w:t>
            </w:r>
          </w:p>
        </w:tc>
        <w:tc>
          <w:tcPr>
            <w:tcW w:type="dxa" w:w="3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Role</w:t>
            </w:r>
          </w:p>
        </w:tc>
      </w:tr>
      <w:tr>
        <w:tc>
          <w:tcPr>
            <w:tcW w:type="dxa" w:w="24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1</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STC / TAWAL / Mobily / Zain</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End Client — owns the network and sets the specification</w:t>
            </w:r>
          </w:p>
        </w:tc>
      </w:tr>
      <w:tr>
        <w:tc>
          <w:tcPr>
            <w:tcW w:type="dxa" w:w="24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2</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Nokia / Huawei / Cisco / ZTE (Main Contractor)</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Prime Contractor — holds the main contract with end client; issues POs to Ratal Group. These POs are the revenue ceiling.</w:t>
            </w:r>
          </w:p>
        </w:tc>
      </w:tr>
      <w:tr>
        <w:tc>
          <w:tcPr>
            <w:tcW w:type="dxa" w:w="24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3</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Ratal Group (Sub-Contractor)</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Executes field delivery; raises invoices to contractor; manages own sub-contractors and suppliers via ACC-PO-XXXX series.</w:t>
            </w:r>
          </w:p>
        </w:tc>
      </w:tr>
      <w:tr>
        <w:tc>
          <w:tcPr>
            <w:tcW w:type="dxa" w:w="2400"/>
            <w:gridSpan w:val="1"/>
            <w:shd w:fill="F3E5F5"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4</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Ratal's Sub-Contractors &amp; Suppliers</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Specialised activity sub-cons and material suppliers. Each receives an ACC-PO issued by Ratal.</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2.2  PO Numbering — Confirmed</w:t>
      </w:r>
    </w:p>
    <w:p>
      <w:pPr>
        <w:spacing w:after="80" w:before="60"/>
      </w:pPr>
      <w:r>
        <w:rPr>
          <w:rFonts w:ascii="Inter" w:cs="Inter" w:eastAsia="Inter" w:hAnsi="Inter"/>
          <w:color w:val="1A2E3D"/>
          <w:sz w:val="20"/>
          <w:szCs w:val="20"/>
        </w:rPr>
        <w:t xml:space="preserve">Two categories of POs exist in the system. They are fundamentally different: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00"/>
      </w:tblGrid>
      <w:tr>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Type</w:t>
            </w:r>
          </w:p>
        </w:tc>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Direction</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Format</w:t>
            </w:r>
          </w:p>
        </w:tc>
        <w:tc>
          <w:tcPr>
            <w:tcW w:type="dxa" w:w="2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Where Stored</w:t>
            </w:r>
          </w:p>
        </w:tc>
      </w:tr>
      <w:tr>
        <w:tc>
          <w:tcPr>
            <w:tcW w:type="dxa" w:w="16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PO</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INCOMING — Nokia/Huawei/ZTE issues to Ratal</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Contractor's own ref#</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Purchase Orders tab — "Incoming PO" record. This is the revenue document.</w:t>
            </w:r>
          </w:p>
        </w:tc>
      </w:tr>
      <w:tr>
        <w:tc>
          <w:tcPr>
            <w:tcW w:type="dxa" w:w="16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Ratal PO</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OUTGOING — Ratal issues to Sub-Con / Supplier / Vendor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ACC-PO-0001 + Date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Purchase Orders tab — "Outgoing PO" record. Links to the Site Master it serves.</w:t>
            </w:r>
          </w:p>
        </w:tc>
      </w:tr>
    </w:tbl>
    <w:p>
      <w:pPr>
        <w:pBdr>
          <w:left w:val="thick" w:color="2E7D32" w:sz="12" w:space="8"/>
        </w:pBdr>
        <w:spacing w:after="80" w:before="80"/>
        <w:ind w:left="400"/>
      </w:pPr>
      <w:r>
        <w:rPr>
          <w:rFonts w:ascii="Inter" w:cs="Inter" w:eastAsia="Inter" w:hAnsi="Inter"/>
          <w:b/>
          <w:bCs/>
          <w:color w:val="2E7D32"/>
          <w:sz w:val="18"/>
          <w:szCs w:val="18"/>
        </w:rPr>
        <w:t xml:space="preserve">✔  CONFIRMED: Ratal outgoing POs use the format ACC-PO-XXXX (e.g., ACC-PO-0001) with the issue date. Sequence is global across all entity types.</w:t>
      </w:r>
    </w:p>
    <w:p>
      <w:pPr>
        <w:spacing w:after="80" w:before="80"/>
      </w:pPr>
      <w:r>
        <w:t xml:space="preserve"/>
      </w:r>
    </w:p>
    <w:p>
      <w:pPr>
        <w:pStyle w:val="Heading2"/>
        <w:spacing w:after="120" w:before="320"/>
      </w:pPr>
      <w:r>
        <w:rPr>
          <w:rFonts w:ascii="Inter" w:cs="Inter" w:eastAsia="Inter" w:hAnsi="Inter"/>
          <w:b/>
          <w:bCs/>
          <w:color w:val="1565C0"/>
          <w:sz w:val="26"/>
          <w:szCs w:val="26"/>
        </w:rPr>
        <w:t xml:space="preserve">2.3  Revenue Recognition per Unit Type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00"/>
      </w:tblGrid>
      <w:tr>
        <w:tc>
          <w:tcPr>
            <w:tcW w:type="dxa" w:w="1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Unit</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Pattern</w:t>
            </w:r>
          </w:p>
        </w:tc>
        <w:tc>
          <w:tcPr>
            <w:tcW w:type="dxa" w:w="2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Billable Trigger</w:t>
            </w:r>
          </w:p>
        </w:tc>
        <w:tc>
          <w:tcPr>
            <w:tcW w:type="dxa" w:w="2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Confirmed</w:t>
            </w:r>
          </w:p>
        </w:tc>
      </w:tr>
      <w:tr>
        <w:tc>
          <w:tcPr>
            <w:tcW w:type="dxa" w:w="14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NISU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Model-based BOQ — PO per model type (not per Job#)</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Document Approval after PAT</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Job# = 1 BOQ model = 1 Site Master</w:t>
            </w:r>
          </w:p>
        </w:tc>
      </w:tr>
      <w:tr>
        <w:tc>
          <w:tcPr>
            <w:tcW w:type="dxa" w:w="14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One PO per tower</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Handover milestone complete</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Tower = 1 PO = 1 Site Master</w:t>
            </w:r>
          </w:p>
        </w:tc>
      </w:tr>
      <w:tr>
        <w:tc>
          <w:tcPr>
            <w:tcW w:type="dxa" w:w="1400"/>
            <w:gridSpan w:val="1"/>
            <w:shd w:fill="EDE7F6"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Varies by work type (see §3.3)</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Per Contractor PO qty &amp; terms</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Billing = PO quantity + contractor terms</w:t>
            </w:r>
          </w:p>
        </w:tc>
      </w:tr>
      <w:tr>
        <w:tc>
          <w:tcPr>
            <w:tcW w:type="dxa" w:w="1400"/>
            <w:gridSpan w:val="1"/>
            <w:shd w:fill="E0F2F1"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ITSU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Per Charter / SOW</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Charter milestones / client mechanism</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Charter (SOW) = 1 Site Master</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3.  The Four Service Units — Confirmed Scope</w:t>
      </w:r>
    </w:p>
    <w:p>
      <w:pPr>
        <w:pStyle w:val="Heading2"/>
        <w:spacing w:after="120" w:before="320"/>
      </w:pPr>
      <w:r>
        <w:rPr>
          <w:rFonts w:ascii="Inter" w:cs="Inter" w:eastAsia="Inter" w:hAnsi="Inter"/>
          <w:b/>
          <w:bCs/>
          <w:color w:val="1565C0"/>
          <w:sz w:val="26"/>
          <w:szCs w:val="26"/>
        </w:rPr>
        <w:t xml:space="preserve">3.1  NISU — Network Infrastructure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Each Job# maps to exactly one BOQ model type. Therefore: 1 Site Master = 1 Job# = 1 BOQ model at 1 physical site.</w:t>
      </w:r>
    </w:p>
    <w:p>
      <w:pPr>
        <w:pStyle w:val="Heading3"/>
        <w:spacing w:after="80" w:before="240"/>
      </w:pPr>
      <w:r>
        <w:rPr>
          <w:rFonts w:ascii="Inter" w:cs="Inter" w:eastAsia="Inter" w:hAnsi="Inter"/>
          <w:b/>
          <w:bCs/>
          <w:color w:val="1A2E3D"/>
          <w:sz w:val="22"/>
          <w:szCs w:val="22"/>
        </w:rPr>
        <w:t xml:space="preserve">How the NISU PO + Job# relationship works</w:t>
      </w:r>
    </w:p>
    <w:p>
      <w:pPr>
        <w:spacing w:after="80" w:before="60"/>
      </w:pPr>
      <w:r>
        <w:rPr>
          <w:rFonts w:ascii="Inter" w:cs="Inter" w:eastAsia="Inter" w:hAnsi="Inter"/>
          <w:color w:val="1A2E3D"/>
          <w:sz w:val="20"/>
          <w:szCs w:val="20"/>
        </w:rPr>
        <w:t xml:space="preserve">The Contractor issues one PO covering a model type across many quantities. Ratal then receives individual Job# references for each installation. Example: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500"/>
        <w:gridCol w:w="22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Contractor PO Line</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Qty</w:t>
            </w:r>
          </w:p>
        </w:tc>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Unit Price</w:t>
            </w:r>
          </w:p>
        </w:tc>
        <w:tc>
          <w:tcPr>
            <w:tcW w:type="dxa" w:w="1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Total</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Job# Allocation</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PE-Agg Model-1 (ASR-9922 2×100G, 2×40G, 2×10G)</w:t>
            </w:r>
          </w:p>
        </w:tc>
        <w:tc>
          <w:tcPr>
            <w:tcW w:type="dxa" w:w="18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30</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65,000</w:t>
            </w:r>
          </w:p>
        </w:tc>
        <w:tc>
          <w:tcPr>
            <w:tcW w:type="dxa" w:w="1500"/>
            <w:gridSpan w:val="1"/>
            <w:tcMar>
              <w:top w:type="dxa" w:w="60"/>
              <w:left w:type="dxa" w:w="80"/>
              <w:bottom w:type="dxa" w:w="60"/>
              <w:right w:type="dxa" w:w="80"/>
            </w:tcMar>
            <w:vAlign w:val="center"/>
          </w:tcPr>
          <w:p>
            <w:pPr>
              <w:jc w:val="right"/>
            </w:pPr>
            <w:r>
              <w:rPr>
                <w:rFonts w:ascii="Inter" w:cs="Inter" w:eastAsia="Inter" w:hAnsi="Inter"/>
                <w:b/>
                <w:bCs/>
                <w:color w:val="1A2E3D"/>
                <w:sz w:val="18"/>
                <w:szCs w:val="18"/>
              </w:rPr>
              <w:t xml:space="preserve">SAR 1,950,000</w:t>
            </w:r>
          </w:p>
        </w:tc>
        <w:tc>
          <w:tcPr>
            <w:tcW w:type="dxa" w:w="22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30 separate Job# → 30 Site Masters</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PE-Agg Model-2 (ASR-9922 3×100G, 1×40G, 2×1G)</w:t>
            </w:r>
          </w:p>
        </w:tc>
        <w:tc>
          <w:tcPr>
            <w:tcW w:type="dxa" w:w="18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42</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75,000</w:t>
            </w:r>
          </w:p>
        </w:tc>
        <w:tc>
          <w:tcPr>
            <w:tcW w:type="dxa" w:w="1500"/>
            <w:gridSpan w:val="1"/>
            <w:tcMar>
              <w:top w:type="dxa" w:w="60"/>
              <w:left w:type="dxa" w:w="80"/>
              <w:bottom w:type="dxa" w:w="60"/>
              <w:right w:type="dxa" w:w="80"/>
            </w:tcMar>
            <w:vAlign w:val="center"/>
          </w:tcPr>
          <w:p>
            <w:pPr>
              <w:jc w:val="right"/>
            </w:pPr>
            <w:r>
              <w:rPr>
                <w:rFonts w:ascii="Inter" w:cs="Inter" w:eastAsia="Inter" w:hAnsi="Inter"/>
                <w:b/>
                <w:bCs/>
                <w:color w:val="1A2E3D"/>
                <w:sz w:val="18"/>
                <w:szCs w:val="18"/>
              </w:rPr>
              <w:t xml:space="preserve">SAR 3,150,000</w:t>
            </w:r>
          </w:p>
        </w:tc>
        <w:tc>
          <w:tcPr>
            <w:tcW w:type="dxa" w:w="22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42 separate Job# → 42 Site Masters</w:t>
            </w:r>
          </w:p>
        </w:tc>
      </w:tr>
    </w:tbl>
    <w:p>
      <w:pPr>
        <w:pBdr>
          <w:left w:val="thick" w:color="FF385C" w:sz="12" w:space="8"/>
        </w:pBdr>
        <w:spacing w:after="80" w:before="80"/>
        <w:ind w:left="400"/>
      </w:pPr>
      <w:r>
        <w:rPr>
          <w:rFonts w:ascii="Inter" w:cs="Inter" w:eastAsia="Inter" w:hAnsi="Inter"/>
          <w:i/>
          <w:iCs/>
          <w:color w:val="E65100"/>
          <w:sz w:val="18"/>
          <w:szCs w:val="18"/>
        </w:rPr>
        <w:t xml:space="preserve">The Contractor PO total (e.g., SAR 1,950,000 for 30 units) is the revenue envelope. Each Site Master carries the per-unit value (SAR 65,000) as its revenue ceiling.</w:t>
      </w:r>
    </w:p>
    <w:p>
      <w:pPr>
        <w:pStyle w:val="Heading3"/>
        <w:spacing w:after="80" w:before="240"/>
      </w:pPr>
      <w:r>
        <w:rPr>
          <w:rFonts w:ascii="Inter" w:cs="Inter" w:eastAsia="Inter" w:hAnsi="Inter"/>
          <w:b/>
          <w:bCs/>
          <w:color w:val="1A2E3D"/>
          <w:sz w:val="22"/>
          <w:szCs w:val="22"/>
        </w:rPr>
        <w:t xml:space="preserve">NISU Delivery Milestones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600"/>
        <w:gridCol w:w="1400"/>
        <w:gridCol w:w="2500"/>
      </w:tblGrid>
      <w:tr>
        <w:tc>
          <w:tcPr>
            <w:tcW w:type="dxa" w:w="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Milestone</w:t>
            </w:r>
          </w:p>
        </w:tc>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Responsible</w:t>
            </w:r>
          </w:p>
        </w:tc>
        <w:tc>
          <w:tcPr>
            <w:tcW w:type="dxa" w:w="1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Gate?</w:t>
            </w:r>
          </w:p>
        </w:tc>
        <w:tc>
          <w:tcPr>
            <w:tcW w:type="dxa" w:w="2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Notes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Survey</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Survey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Floor Plan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Client / 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Installation cannot start without this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Power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Facility / Client</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Power cabling cannot proceed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MOP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Technical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Covers active + passive components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MOP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Contractor / Client</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Installation start clearance</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Passive Material Procurement</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Procurement / Suppliers</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PO ACC-PO-XXXX to supplier; triggers supplier ledger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Installation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Field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Active equipment delivered by contractor at no cost to Ratal</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PAT</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PAT Team + 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Pre-Acceptance Test; document submission trigger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Document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Admin</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Document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Invoice eligibility unlocked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Invoice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Finance</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recognition event</w:t>
            </w:r>
          </w:p>
        </w:tc>
      </w:tr>
    </w:tbl>
    <w:p>
      <w:pPr>
        <w:pStyle w:val="Heading3"/>
        <w:spacing w:after="80" w:before="240"/>
      </w:pPr>
      <w:r>
        <w:rPr>
          <w:rFonts w:ascii="Inter" w:cs="Inter" w:eastAsia="Inter" w:hAnsi="Inter"/>
          <w:b/>
          <w:bCs/>
          <w:color w:val="1A2E3D"/>
          <w:sz w:val="22"/>
          <w:szCs w:val="22"/>
        </w:rPr>
        <w:t xml:space="preserve">NISU Passive Material Procurement — Example (10 sites)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300"/>
        <w:gridCol w:w="18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Supplier</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Material</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Qty</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Unit Price</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Value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MOUSA Cables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Power Cable 35mm</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8,000 m</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23</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184,000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Schindler Electrics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Circuit Breaker</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320 units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60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19,200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Smart Communications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Cabinet 600×600</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10 units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3,200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32,000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Smart Communications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Cabinet 800×1200</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10 units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5,200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52,000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MDX Suppliers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Cable Ladder</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150 pieces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240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36,000</w:t>
            </w:r>
          </w:p>
        </w:tc>
      </w:tr>
    </w:tbl>
    <w:p>
      <w:pPr>
        <w:spacing w:after="80" w:before="80"/>
      </w:pPr>
      <w:r>
        <w:t xml:space="preserve"/>
      </w:r>
    </w:p>
    <w:p>
      <w:pPr>
        <w:pStyle w:val="Heading2"/>
        <w:spacing w:after="120" w:before="320"/>
      </w:pPr>
      <w:r>
        <w:rPr>
          <w:rFonts w:ascii="Inter" w:cs="Inter" w:eastAsia="Inter" w:hAnsi="Inter"/>
          <w:b/>
          <w:bCs/>
          <w:color w:val="2E7D32"/>
          <w:sz w:val="26"/>
          <w:szCs w:val="26"/>
        </w:rPr>
        <w:t xml:space="preserve">3.2  TISU — Tower Infrastructure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One Contractor PO per tower. Each tower is a standalone Site Master. Cluster POs not currently used — policy may be revisited in future.</w:t>
      </w:r>
    </w:p>
    <w:p>
      <w:pPr>
        <w:pStyle w:val="Heading3"/>
        <w:spacing w:after="80" w:before="240"/>
      </w:pPr>
      <w:r>
        <w:rPr>
          <w:rFonts w:ascii="Inter" w:cs="Inter" w:eastAsia="Inter" w:hAnsi="Inter"/>
          <w:b/>
          <w:bCs/>
          <w:color w:val="1A2E3D"/>
          <w:sz w:val="22"/>
          <w:szCs w:val="22"/>
        </w:rPr>
        <w:t xml:space="preserve">Tower Classification &amp; Revenue per Site Master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900"/>
        <w:gridCol w:w="19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Tower Type</w:t>
            </w:r>
          </w:p>
        </w:tc>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Heights (m)</w:t>
            </w:r>
          </w:p>
        </w:tc>
        <w:tc>
          <w:tcPr>
            <w:tcW w:type="dxa" w:w="1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Client Example</w:t>
            </w:r>
          </w:p>
        </w:tc>
        <w:tc>
          <w:tcPr>
            <w:tcW w:type="dxa" w:w="1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per Tower</w:t>
            </w:r>
          </w:p>
        </w:tc>
        <w:tc>
          <w:tcPr>
            <w:tcW w:type="dxa" w:w="1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Site Master Revenue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4-Leg Lattice</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45 / 60 / 75 / 90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TAWAL</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SAR 140,000–180,000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4-Leg Lattice (Zain)</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60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Zain</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SAR 150,000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Monopole</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30 / 45 / 60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Urban sites</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Varies</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Tri-Leg</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45 / 60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Rare</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Varies</w:t>
            </w:r>
          </w:p>
        </w:tc>
      </w:tr>
    </w:tbl>
    <w:p>
      <w:pPr>
        <w:pStyle w:val="Heading3"/>
        <w:spacing w:after="80" w:before="240"/>
      </w:pPr>
      <w:r>
        <w:rPr>
          <w:rFonts w:ascii="Inter" w:cs="Inter" w:eastAsia="Inter" w:hAnsi="Inter"/>
          <w:b/>
          <w:bCs/>
          <w:color w:val="1A2E3D"/>
          <w:sz w:val="22"/>
          <w:szCs w:val="22"/>
        </w:rPr>
        <w:t xml:space="preserve">TISU 15-Step Milestone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1400"/>
        <w:gridCol w:w="2900"/>
      </w:tblGrid>
      <w:tr>
        <w:tc>
          <w:tcPr>
            <w:tcW w:type="dxa" w:w="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Milestone</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Executor</w:t>
            </w:r>
          </w:p>
        </w:tc>
        <w:tc>
          <w:tcPr>
            <w:tcW w:type="dxa" w:w="1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Gate?</w:t>
            </w:r>
          </w:p>
        </w:tc>
        <w:tc>
          <w:tcPr>
            <w:tcW w:type="dxa" w:w="2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Sub-Con Pool / Notes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Survey</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Survey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Soil + access route assessment</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Design Review</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Structural Engineer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Authority/client approval required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Excavation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(5–8)</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Rate varies: 45m tower SAR 20k, 65m SAR 25k; per region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Lean Concrete</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Own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Levelling layer before foundation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Compaction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(5–8)</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Certification required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Back Filling</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Own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After foundation curing</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Testing &amp; Certification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(4–6)</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Compaction + torque tests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Foundation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(4–6)</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Rebar + concrete; 28-day cure minimum</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Transportation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Transport Sub-Con</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Heavy vehicle; permit per dimensions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Erection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(5–10)</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Crane required; HSE plan mandatory</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RFI</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Quality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Formal inspection request to client</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Power Cabling</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TISU Electrical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Generator / grid connection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Fencing</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Security perimeter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PAT</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PAT Team + 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Pre-Acceptance Test</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Handover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Project Manager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recognition; invoice trigger</w:t>
            </w:r>
          </w:p>
        </w:tc>
      </w:tr>
    </w:tbl>
    <w:p>
      <w:pPr>
        <w:spacing w:after="80" w:before="80"/>
      </w:pPr>
      <w:r>
        <w:t xml:space="preserve"/>
      </w:r>
    </w:p>
    <w:p>
      <w:r>
        <w:br w:type="page"/>
      </w:r>
    </w:p>
    <w:p>
      <w:pPr>
        <w:pStyle w:val="Heading2"/>
        <w:spacing w:after="120" w:before="320"/>
      </w:pPr>
      <w:r>
        <w:rPr>
          <w:rFonts w:ascii="Inter" w:cs="Inter" w:eastAsia="Inter" w:hAnsi="Inter"/>
          <w:b/>
          <w:bCs/>
          <w:color w:val="6A1B9A"/>
          <w:sz w:val="26"/>
          <w:szCs w:val="26"/>
        </w:rPr>
        <w:t xml:space="preserve">3.3  CISU — Civil Infrastructure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CISU spans five distinct work types, each with its own billing mechanism. Billing in all cases is governed by the Contractor's PO quantity and payment terms. PM tracks all authority approvals.</w:t>
      </w:r>
    </w:p>
    <w:p>
      <w:pPr>
        <w:spacing w:after="80" w:before="60"/>
      </w:pPr>
      <w:r>
        <w:rPr>
          <w:rFonts w:ascii="Inter" w:cs="Inter" w:eastAsia="Inter" w:hAnsi="Inter"/>
          <w:color w:val="1A2E3D"/>
          <w:sz w:val="20"/>
          <w:szCs w:val="20"/>
        </w:rPr>
        <w:t xml:space="preserve">CISU is the most diverse unit in scope. The Site Master data model must support multiple CISU work types under one department:</w:t>
      </w:r>
    </w:p>
    <w:p>
      <w:pPr>
        <w:pStyle w:val="Heading3"/>
        <w:spacing w:after="80" w:before="240"/>
      </w:pPr>
      <w:r>
        <w:rPr>
          <w:rFonts w:ascii="Inter" w:cs="Inter" w:eastAsia="Inter" w:hAnsi="Inter"/>
          <w:b/>
          <w:bCs/>
          <w:color w:val="1A2E3D"/>
          <w:sz w:val="22"/>
          <w:szCs w:val="22"/>
        </w:rPr>
        <w:t xml:space="preserve">CISU Work Type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00"/>
      </w:tblGrid>
      <w:tr>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Work Type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Example</w:t>
            </w:r>
          </w:p>
        </w:tc>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Pattern</w:t>
            </w:r>
          </w:p>
        </w:tc>
        <w:tc>
          <w:tcPr>
            <w:tcW w:type="dxa" w:w="31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Billing Mechanism</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Microwave Links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MW antenna erection, waveguide, IDU, alignment</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Cluster PO — multiple links per month</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link commissioned within the cluster period</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Node Installations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SBM: 8,000 nodes across sites</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Bulk Qty PO (no Job# per node)</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Quantity installed × unit rate from contractor PO</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Camera Installations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CCTV, PTZ cameras, NVR</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Unit Qty PO</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camera installed and accepted</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Door Access Systems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Card readers, control panels, barriers</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Unit Qty PO</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unit installed and commissioned</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Data Centre Infrastructure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Raised floor, cabling, PDU, cooling, racks</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Milestone / deliverable PO</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phase milestone or deliverable acceptance</w:t>
            </w:r>
          </w:p>
        </w:tc>
      </w:tr>
    </w:tbl>
    <w:p>
      <w:pPr>
        <w:pBdr>
          <w:left w:val="thick" w:color="FF385C" w:sz="12" w:space="8"/>
        </w:pBdr>
        <w:spacing w:after="80" w:before="80"/>
        <w:ind w:left="400"/>
      </w:pPr>
      <w:r>
        <w:rPr>
          <w:rFonts w:ascii="Inter" w:cs="Inter" w:eastAsia="Inter" w:hAnsi="Inter"/>
          <w:i/>
          <w:iCs/>
          <w:color w:val="E65100"/>
          <w:sz w:val="18"/>
          <w:szCs w:val="18"/>
        </w:rPr>
        <w:t xml:space="preserve">For CISU, the Site Master ID reference (e.g., SM-CISU-26-003) is used when the contractor does not issue a specific Job# or site reference. For Microwave Links, the link ID (provided by contractor) is used as the Job# reference.</w:t>
      </w:r>
    </w:p>
    <w:p>
      <w:pPr>
        <w:pStyle w:val="Heading3"/>
        <w:spacing w:after="80" w:before="240"/>
      </w:pPr>
      <w:r>
        <w:rPr>
          <w:rFonts w:ascii="Inter" w:cs="Inter" w:eastAsia="Inter" w:hAnsi="Inter"/>
          <w:b/>
          <w:bCs/>
          <w:color w:val="1A2E3D"/>
          <w:sz w:val="22"/>
          <w:szCs w:val="22"/>
        </w:rPr>
        <w:t xml:space="preserve">CISU — Microwave Links: Cluster PO Logic</w:t>
      </w:r>
    </w:p>
    <w:p>
      <w:pPr>
        <w:spacing w:after="80" w:before="60"/>
      </w:pPr>
      <w:r>
        <w:rPr>
          <w:rFonts w:ascii="Inter" w:cs="Inter" w:eastAsia="Inter" w:hAnsi="Inter"/>
          <w:color w:val="1A2E3D"/>
          <w:sz w:val="20"/>
          <w:szCs w:val="20"/>
        </w:rPr>
        <w:t xml:space="preserve">MW Links are issued as cluster POs covering all links scheduled within a billing period (typically monthly). Each cluster PO may cover 5–20 links. The Site Master is created per link; the cluster PO is referenced on all Site Masters within that batch:</w:t>
      </w:r>
    </w:p>
    <w:p>
      <w:pPr>
        <w:pStyle w:val="ListParagraph"/>
        <w:numPr>
          <w:ilvl w:val="0"/>
          <w:numId w:val="1"/>
        </w:numPr>
        <w:spacing w:after="40" w:before="40"/>
      </w:pPr>
      <w:r>
        <w:rPr>
          <w:rFonts w:ascii="Inter" w:cs="Inter" w:eastAsia="Inter" w:hAnsi="Inter"/>
          <w:color w:val="1A2E3D"/>
          <w:sz w:val="20"/>
          <w:szCs w:val="20"/>
        </w:rPr>
        <w:t xml:space="preserve">Cluster PO → references multiple Site Masters (one per link)</w:t>
      </w:r>
    </w:p>
    <w:p>
      <w:pPr>
        <w:pStyle w:val="ListParagraph"/>
        <w:numPr>
          <w:ilvl w:val="0"/>
          <w:numId w:val="1"/>
        </w:numPr>
        <w:spacing w:after="40" w:before="40"/>
      </w:pPr>
      <w:r>
        <w:rPr>
          <w:rFonts w:ascii="Inter" w:cs="Inter" w:eastAsia="Inter" w:hAnsi="Inter"/>
          <w:color w:val="1A2E3D"/>
          <w:sz w:val="20"/>
          <w:szCs w:val="20"/>
        </w:rPr>
        <w:t xml:space="preserve">Each link's Site Master carries: cluster PO#, link ID, allocated unit value</w:t>
      </w:r>
    </w:p>
    <w:p>
      <w:pPr>
        <w:pStyle w:val="ListParagraph"/>
        <w:numPr>
          <w:ilvl w:val="0"/>
          <w:numId w:val="1"/>
        </w:numPr>
        <w:spacing w:after="40" w:before="40"/>
      </w:pPr>
      <w:r>
        <w:rPr>
          <w:rFonts w:ascii="Inter" w:cs="Inter" w:eastAsia="Inter" w:hAnsi="Inter"/>
          <w:color w:val="1A2E3D"/>
          <w:sz w:val="20"/>
          <w:szCs w:val="20"/>
        </w:rPr>
        <w:t xml:space="preserve">Invoicing: all links in the cluster that reach "commissioned" milestone are invoiced together in one claim</w:t>
      </w:r>
    </w:p>
    <w:p>
      <w:pPr>
        <w:pStyle w:val="ListParagraph"/>
        <w:numPr>
          <w:ilvl w:val="0"/>
          <w:numId w:val="1"/>
        </w:numPr>
        <w:spacing w:after="40" w:before="40"/>
      </w:pPr>
      <w:r>
        <w:rPr>
          <w:rFonts w:ascii="Inter" w:cs="Inter" w:eastAsia="Inter" w:hAnsi="Inter"/>
          <w:color w:val="1A2E3D"/>
          <w:sz w:val="20"/>
          <w:szCs w:val="20"/>
        </w:rPr>
        <w:t xml:space="preserve">PM tracks permit status for each link independently (antenna permits, municipal clearances)</w:t>
      </w:r>
    </w:p>
    <w:p>
      <w:pPr>
        <w:pStyle w:val="Heading3"/>
        <w:spacing w:after="80" w:before="240"/>
      </w:pPr>
      <w:r>
        <w:rPr>
          <w:rFonts w:ascii="Inter" w:cs="Inter" w:eastAsia="Inter" w:hAnsi="Inter"/>
          <w:b/>
          <w:bCs/>
          <w:color w:val="1A2E3D"/>
          <w:sz w:val="22"/>
          <w:szCs w:val="22"/>
        </w:rPr>
        <w:t xml:space="preserve">CISU — Node/Camera/Door Access: Bulk Quantity Logic</w:t>
      </w:r>
    </w:p>
    <w:p>
      <w:pPr>
        <w:spacing w:after="80" w:before="60"/>
      </w:pPr>
      <w:r>
        <w:rPr>
          <w:rFonts w:ascii="Inter" w:cs="Inter" w:eastAsia="Inter" w:hAnsi="Inter"/>
          <w:color w:val="1A2E3D"/>
          <w:sz w:val="20"/>
          <w:szCs w:val="20"/>
        </w:rPr>
        <w:t xml:space="preserve">For large-scale unit installations (e.g., SBM 8,000 nodes), there is no Job# per node. The Site Master is created per project batch:</w:t>
      </w:r>
    </w:p>
    <w:p>
      <w:pPr>
        <w:pStyle w:val="ListParagraph"/>
        <w:numPr>
          <w:ilvl w:val="0"/>
          <w:numId w:val="1"/>
        </w:numPr>
        <w:spacing w:after="40" w:before="40"/>
      </w:pPr>
      <w:r>
        <w:rPr>
          <w:rFonts w:ascii="Inter" w:cs="Inter" w:eastAsia="Inter" w:hAnsi="Inter"/>
          <w:color w:val="1A2E3D"/>
          <w:sz w:val="20"/>
          <w:szCs w:val="20"/>
        </w:rPr>
        <w:t xml:space="preserve">Site Master covers the entire batch or a deployment phase (e.g., "SBM Nodes Phase 1 — 2,000 units")</w:t>
      </w:r>
    </w:p>
    <w:p>
      <w:pPr>
        <w:pStyle w:val="ListParagraph"/>
        <w:numPr>
          <w:ilvl w:val="0"/>
          <w:numId w:val="1"/>
        </w:numPr>
        <w:spacing w:after="40" w:before="40"/>
      </w:pPr>
      <w:r>
        <w:rPr>
          <w:rFonts w:ascii="Inter" w:cs="Inter" w:eastAsia="Inter" w:hAnsi="Inter"/>
          <w:color w:val="1A2E3D"/>
          <w:sz w:val="20"/>
          <w:szCs w:val="20"/>
        </w:rPr>
        <w:t xml:space="preserve">Budget = unit cost × planned quantity</w:t>
      </w:r>
    </w:p>
    <w:p>
      <w:pPr>
        <w:pStyle w:val="ListParagraph"/>
        <w:numPr>
          <w:ilvl w:val="0"/>
          <w:numId w:val="1"/>
        </w:numPr>
        <w:spacing w:after="40" w:before="40"/>
      </w:pPr>
      <w:r>
        <w:rPr>
          <w:rFonts w:ascii="Inter" w:cs="Inter" w:eastAsia="Inter" w:hAnsi="Inter"/>
          <w:color w:val="1A2E3D"/>
          <w:sz w:val="20"/>
          <w:szCs w:val="20"/>
        </w:rPr>
        <w:t xml:space="preserve">Actual = unit cost × quantity installed to date (tracked via progress report)</w:t>
      </w:r>
    </w:p>
    <w:p>
      <w:pPr>
        <w:pStyle w:val="ListParagraph"/>
        <w:numPr>
          <w:ilvl w:val="0"/>
          <w:numId w:val="1"/>
        </w:numPr>
        <w:spacing w:after="40" w:before="40"/>
      </w:pPr>
      <w:r>
        <w:rPr>
          <w:rFonts w:ascii="Inter" w:cs="Inter" w:eastAsia="Inter" w:hAnsi="Inter"/>
          <w:color w:val="1A2E3D"/>
          <w:sz w:val="20"/>
          <w:szCs w:val="20"/>
        </w:rPr>
        <w:t xml:space="preserve">Invoice raised against quantity completed each billing period</w:t>
      </w:r>
    </w:p>
    <w:p>
      <w:pPr>
        <w:spacing w:after="80" w:before="80"/>
      </w:pPr>
      <w:r>
        <w:t xml:space="preserve"/>
      </w:r>
    </w:p>
    <w:p>
      <w:pPr>
        <w:pStyle w:val="Heading2"/>
        <w:spacing w:after="120" w:before="320"/>
      </w:pPr>
      <w:r>
        <w:rPr>
          <w:rFonts w:ascii="Inter" w:cs="Inter" w:eastAsia="Inter" w:hAnsi="Inter"/>
          <w:b/>
          <w:bCs/>
          <w:color w:val="00695C"/>
          <w:sz w:val="26"/>
          <w:szCs w:val="26"/>
        </w:rPr>
        <w:t xml:space="preserve">3.4  ITSU — IT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ITSU bills per Charter (SOW document). 1 Charter = 1 Site Master. Different clients follow different billing mechanisms — the system must support flexible billing terms per Contractor PO.</w:t>
      </w:r>
    </w:p>
    <w:p>
      <w:pPr>
        <w:pStyle w:val="Heading3"/>
        <w:spacing w:after="80" w:before="240"/>
      </w:pPr>
      <w:r>
        <w:rPr>
          <w:rFonts w:ascii="Inter" w:cs="Inter" w:eastAsia="Inter" w:hAnsi="Inter"/>
          <w:b/>
          <w:bCs/>
          <w:color w:val="1A2E3D"/>
          <w:sz w:val="22"/>
          <w:szCs w:val="22"/>
        </w:rPr>
        <w:t xml:space="preserve">What is a Charter in ITSU context?</w:t>
      </w:r>
    </w:p>
    <w:p>
      <w:pPr>
        <w:spacing w:after="80" w:before="60"/>
      </w:pPr>
      <w:r>
        <w:rPr>
          <w:rFonts w:ascii="Inter" w:cs="Inter" w:eastAsia="Inter" w:hAnsi="Inter"/>
          <w:color w:val="1A2E3D"/>
          <w:sz w:val="20"/>
          <w:szCs w:val="20"/>
        </w:rPr>
        <w:t xml:space="preserve">A Charter is equivalent to a Statement of Work (SOW) — it defines the scope, devices in scope, configuration standard, timeline, and acceptance criteria for a specific ITSU engagement. Examples:</w:t>
      </w:r>
    </w:p>
    <w:p>
      <w:pPr>
        <w:pStyle w:val="ListParagraph"/>
        <w:numPr>
          <w:ilvl w:val="0"/>
          <w:numId w:val="1"/>
        </w:numPr>
        <w:spacing w:after="40" w:before="40"/>
      </w:pPr>
      <w:r>
        <w:rPr>
          <w:rFonts w:ascii="Inter" w:cs="Inter" w:eastAsia="Inter" w:hAnsi="Inter"/>
          <w:color w:val="1A2E3D"/>
          <w:sz w:val="20"/>
          <w:szCs w:val="20"/>
        </w:rPr>
        <w:t xml:space="preserve">Charter: "Nokia — ASR Router Configuration, SAR Sites, Phase 2 — 120 devices @ SAR 1,200 each"</w:t>
      </w:r>
    </w:p>
    <w:p>
      <w:pPr>
        <w:pStyle w:val="ListParagraph"/>
        <w:numPr>
          <w:ilvl w:val="0"/>
          <w:numId w:val="1"/>
        </w:numPr>
        <w:spacing w:after="40" w:before="40"/>
      </w:pPr>
      <w:r>
        <w:rPr>
          <w:rFonts w:ascii="Inter" w:cs="Inter" w:eastAsia="Inter" w:hAnsi="Inter"/>
          <w:color w:val="1A2E3D"/>
          <w:sz w:val="20"/>
          <w:szCs w:val="20"/>
        </w:rPr>
        <w:t xml:space="preserve">Charter: "Huawei — Core Switch OS Upgrade — 45 switches, fixed price SAR 90,000"</w:t>
      </w:r>
    </w:p>
    <w:p>
      <w:pPr>
        <w:pStyle w:val="ListParagraph"/>
        <w:numPr>
          <w:ilvl w:val="0"/>
          <w:numId w:val="1"/>
        </w:numPr>
        <w:spacing w:after="40" w:before="40"/>
      </w:pPr>
      <w:r>
        <w:rPr>
          <w:rFonts w:ascii="Inter" w:cs="Inter" w:eastAsia="Inter" w:hAnsi="Inter"/>
          <w:color w:val="1A2E3D"/>
          <w:sz w:val="20"/>
          <w:szCs w:val="20"/>
        </w:rPr>
        <w:t xml:space="preserve">Charter: "Client XYZ — Network Audit &amp; Configuration Review — 80 engineer-days @ SAR 1,500/day"</w:t>
      </w:r>
    </w:p>
    <w:p>
      <w:pPr>
        <w:spacing w:after="80" w:before="60"/>
      </w:pPr>
      <w:r>
        <w:rPr>
          <w:rFonts w:ascii="Inter" w:cs="Inter" w:eastAsia="Inter" w:hAnsi="Inter"/>
          <w:color w:val="1A2E3D"/>
          <w:sz w:val="20"/>
          <w:szCs w:val="20"/>
        </w:rPr>
        <w:t xml:space="preserve">The billing mechanism varies by client. The system stores the billing type in the Charter/Site Master: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Billing Type</w:t>
            </w:r>
          </w:p>
        </w:tc>
        <w:tc>
          <w:tcPr>
            <w:tcW w:type="dxa" w:w="3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Description</w:t>
            </w:r>
          </w:p>
        </w:tc>
        <w:tc>
          <w:tcPr>
            <w:tcW w:type="dxa" w:w="3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System Behaviour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Per Device</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Fixed price per configured device</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Count devices marked "configured + tested"; multiply by unit rate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Fixed Price</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One price for the full charter</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100% revenue on Charter acceptance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Per Engineer-Day</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Day rate × actual days</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Timesheet-driven; daily team allocation form feeds actual</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Per Milestone</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Payment at defined deliverables</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Gate milestones in Charter determine invoice eligibility</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4.  The Site Master — Final Data Model</w:t>
      </w:r>
    </w:p>
    <w:p>
      <w:pPr>
        <w:pStyle w:val="Heading2"/>
        <w:spacing w:after="120" w:before="320"/>
      </w:pPr>
      <w:r>
        <w:rPr>
          <w:rFonts w:ascii="Inter" w:cs="Inter" w:eastAsia="Inter" w:hAnsi="Inter"/>
          <w:b/>
          <w:bCs/>
          <w:color w:val="1565C0"/>
          <w:sz w:val="26"/>
          <w:szCs w:val="26"/>
        </w:rPr>
        <w:t xml:space="preserve">4.1  Site Master Identifier Logic</w:t>
      </w:r>
    </w:p>
    <w:p>
      <w:pPr>
        <w:spacing w:after="80" w:before="60"/>
      </w:pPr>
      <w:r>
        <w:rPr>
          <w:rFonts w:ascii="Inter" w:cs="Inter" w:eastAsia="Inter" w:hAnsi="Inter"/>
          <w:color w:val="1A2E3D"/>
          <w:sz w:val="20"/>
          <w:szCs w:val="20"/>
        </w:rPr>
        <w:t xml:space="preserve">The identifier depends on whether the client/contractor provides a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00"/>
      </w:tblGrid>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Scenario</w:t>
            </w:r>
          </w:p>
        </w:tc>
        <w:tc>
          <w:tcPr>
            <w:tcW w:type="dxa" w:w="2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ID Used</w:t>
            </w:r>
          </w:p>
        </w:tc>
        <w:tc>
          <w:tcPr>
            <w:tcW w:type="dxa" w:w="4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Example</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Client provides Job#</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Use client Job# as the primary reference field; system still generates SM-ID internally</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Job# = STC-JOB-00123; SM-ID = SM-NISU-26-001 (cross-linked)</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Client provides RFC#</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Use RFC# as the primary reference; SM-ID generated internally</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RFC# = TAW-RFC-0456; SM-ID = SM-TISU-26-047</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No client reference</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Use system-generated SM-ID as primary</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SM-ID = SM-CISU-26-003 (e.g., for node batch)</w:t>
            </w:r>
          </w:p>
        </w:tc>
      </w:tr>
    </w:tbl>
    <w:p>
      <w:pPr>
        <w:pBdr>
          <w:left w:val="thick" w:color="1565C0" w:sz="12" w:space="8"/>
        </w:pBdr>
        <w:spacing w:after="80" w:before="80"/>
        <w:ind w:left="400"/>
      </w:pPr>
      <w:r>
        <w:rPr>
          <w:rFonts w:ascii="Inter" w:cs="Inter" w:eastAsia="Inter" w:hAnsi="Inter"/>
          <w:color w:val="1565C0"/>
          <w:sz w:val="18"/>
          <w:szCs w:val="18"/>
        </w:rPr>
        <w:t xml:space="preserve">The system always generates the SM-ID. The Job# / RFC# is a searchable cross-reference field. Users can search by either.</w:t>
      </w:r>
    </w:p>
    <w:p>
      <w:pPr>
        <w:pStyle w:val="Heading2"/>
        <w:spacing w:after="120" w:before="320"/>
      </w:pPr>
      <w:r>
        <w:rPr>
          <w:rFonts w:ascii="Inter" w:cs="Inter" w:eastAsia="Inter" w:hAnsi="Inter"/>
          <w:b/>
          <w:bCs/>
          <w:color w:val="1565C0"/>
          <w:sz w:val="26"/>
          <w:szCs w:val="26"/>
        </w:rPr>
        <w:t xml:space="preserve">4.2  Site Master Hierarchy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00"/>
      </w:tblGrid>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w:t>
            </w:r>
          </w:p>
        </w:tc>
        <w:tc>
          <w:tcPr>
            <w:tcW w:type="dxa" w:w="3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Entity</w:t>
            </w:r>
          </w:p>
        </w:tc>
        <w:tc>
          <w:tcPr>
            <w:tcW w:type="dxa" w:w="4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Description</w:t>
            </w:r>
          </w:p>
        </w:tc>
      </w:tr>
      <w:tr>
        <w:tc>
          <w:tcPr>
            <w:tcW w:type="dxa" w:w="2000"/>
            <w:gridSpan w:val="1"/>
            <w:shd w:fill="1A2E3D"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 1</w:t>
            </w:r>
          </w:p>
        </w:tc>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Project (LOI / Contract)</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Spans years; may contain hundreds of sites. E.g., "STC PE-Agg Expansion 2026".</w:t>
            </w:r>
          </w:p>
        </w:tc>
      </w:tr>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 2</w:t>
            </w:r>
          </w:p>
        </w:tc>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(Job# / Tower / Charter)</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1 per revenue unit. Holds Contractor PO + budget + actuals + milestones. THE profit centre.</w:t>
            </w:r>
          </w:p>
        </w:tc>
      </w:tr>
      <w:tr>
        <w:tc>
          <w:tcPr>
            <w:tcW w:type="dxa" w:w="2000"/>
            <w:gridSpan w:val="1"/>
            <w:shd w:fill="FFF3E0"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Level 3</w:t>
            </w:r>
          </w:p>
        </w:tc>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Cost Line Items</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Individual ACC-POs to sub-cons/suppliers, expenses, manpower allocation, OT, FA.</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5.  Budget vs Actual — Confirmed Rules</w:t>
      </w:r>
    </w:p>
    <w:p>
      <w:pPr>
        <w:pStyle w:val="Heading2"/>
        <w:spacing w:after="120" w:before="320"/>
      </w:pPr>
      <w:r>
        <w:rPr>
          <w:rFonts w:ascii="Inter" w:cs="Inter" w:eastAsia="Inter" w:hAnsi="Inter"/>
          <w:b/>
          <w:bCs/>
          <w:color w:val="1565C0"/>
          <w:sz w:val="26"/>
          <w:szCs w:val="26"/>
        </w:rPr>
        <w:t xml:space="preserve">5.1  Budget Lock Rule</w:t>
      </w:r>
    </w:p>
    <w:p>
      <w:pPr>
        <w:pBdr>
          <w:left w:val="thick" w:color="2E7D32" w:sz="12" w:space="8"/>
        </w:pBdr>
        <w:spacing w:after="80" w:before="80"/>
        <w:ind w:left="400"/>
      </w:pPr>
      <w:r>
        <w:rPr>
          <w:rFonts w:ascii="Inter" w:cs="Inter" w:eastAsia="Inter" w:hAnsi="Inter"/>
          <w:b/>
          <w:bCs/>
          <w:color w:val="2E7D32"/>
          <w:sz w:val="18"/>
          <w:szCs w:val="18"/>
        </w:rPr>
        <w:t xml:space="preserve">✔  CONFIRMED: Once the budget is approved by Department Head + Finance, it is LOCKED. It cannot be edited. Variations (scope changes or unexpected costs) are NOT added to the budget — they appear as cost overruns in the Actual column. This is intentional: it reveals the true variance between the original plan and reality.</w:t>
      </w:r>
    </w:p>
    <w:p>
      <w:pPr>
        <w:spacing w:after="80" w:before="60"/>
      </w:pPr>
      <w:r>
        <w:rPr>
          <w:rFonts w:ascii="Inter" w:cs="Inter" w:eastAsia="Inter" w:hAnsi="Inter"/>
          <w:color w:val="1A2E3D"/>
          <w:sz w:val="20"/>
          <w:szCs w:val="20"/>
        </w:rPr>
        <w:t xml:space="preserve">The workflow:</w:t>
      </w:r>
    </w:p>
    <w:p>
      <w:pPr>
        <w:pStyle w:val="ListParagraph"/>
        <w:numPr>
          <w:ilvl w:val="0"/>
          <w:numId w:val="1"/>
        </w:numPr>
        <w:spacing w:after="40" w:before="40"/>
      </w:pPr>
      <w:r>
        <w:rPr>
          <w:rFonts w:ascii="Inter" w:cs="Inter" w:eastAsia="Inter" w:hAnsi="Inter"/>
          <w:color w:val="1A2E3D"/>
          <w:sz w:val="20"/>
          <w:szCs w:val="20"/>
        </w:rPr>
        <w:t xml:space="preserve">Step 1: PM creates Site Master immediately on receiving Contractor PO.</w:t>
      </w:r>
    </w:p>
    <w:p>
      <w:pPr>
        <w:pStyle w:val="ListParagraph"/>
        <w:numPr>
          <w:ilvl w:val="0"/>
          <w:numId w:val="1"/>
        </w:numPr>
        <w:spacing w:after="40" w:before="40"/>
      </w:pPr>
      <w:r>
        <w:rPr>
          <w:rFonts w:ascii="Inter" w:cs="Inter" w:eastAsia="Inter" w:hAnsi="Inter"/>
          <w:color w:val="1A2E3D"/>
          <w:sz w:val="20"/>
          <w:szCs w:val="20"/>
        </w:rPr>
        <w:t xml:space="preserve">Step 2: PM fills in the budget breakdown within 48 hours (system warns after 48h if budget is still empty).</w:t>
      </w:r>
    </w:p>
    <w:p>
      <w:pPr>
        <w:pStyle w:val="ListParagraph"/>
        <w:numPr>
          <w:ilvl w:val="0"/>
          <w:numId w:val="1"/>
        </w:numPr>
        <w:spacing w:after="40" w:before="40"/>
      </w:pPr>
      <w:r>
        <w:rPr>
          <w:rFonts w:ascii="Inter" w:cs="Inter" w:eastAsia="Inter" w:hAnsi="Inter"/>
          <w:color w:val="1A2E3D"/>
          <w:sz w:val="20"/>
          <w:szCs w:val="20"/>
        </w:rPr>
        <w:t xml:space="preserve">Step 3: Dept Head + Finance approve the budget. Budget is now LOCKED (read-only).</w:t>
      </w:r>
    </w:p>
    <w:p>
      <w:pPr>
        <w:pStyle w:val="ListParagraph"/>
        <w:numPr>
          <w:ilvl w:val="0"/>
          <w:numId w:val="1"/>
        </w:numPr>
        <w:spacing w:after="40" w:before="40"/>
      </w:pPr>
      <w:r>
        <w:rPr>
          <w:rFonts w:ascii="Inter" w:cs="Inter" w:eastAsia="Inter" w:hAnsi="Inter"/>
          <w:color w:val="1A2E3D"/>
          <w:sz w:val="20"/>
          <w:szCs w:val="20"/>
        </w:rPr>
        <w:t xml:space="preserve">Step 4: PM can begin issuing ACC-POs against the Site Master. ACC-POs feed the Actual.</w:t>
      </w:r>
    </w:p>
    <w:p>
      <w:pPr>
        <w:pStyle w:val="ListParagraph"/>
        <w:numPr>
          <w:ilvl w:val="0"/>
          <w:numId w:val="1"/>
        </w:numPr>
        <w:spacing w:after="40" w:before="40"/>
      </w:pPr>
      <w:r>
        <w:rPr>
          <w:rFonts w:ascii="Inter" w:cs="Inter" w:eastAsia="Inter" w:hAnsi="Inter"/>
          <w:color w:val="1A2E3D"/>
          <w:sz w:val="20"/>
          <w:szCs w:val="20"/>
        </w:rPr>
        <w:t xml:space="preserve">Step 5: If additional costs arise (variation), they are raised as new ACC-POs. They increase the Actual, creating visible overrun — shown in the traffic light dashboard.</w:t>
      </w:r>
    </w:p>
    <w:p>
      <w:pPr>
        <w:pStyle w:val="ListParagraph"/>
        <w:numPr>
          <w:ilvl w:val="0"/>
          <w:numId w:val="1"/>
        </w:numPr>
        <w:spacing w:after="40" w:before="40"/>
      </w:pPr>
      <w:r>
        <w:rPr>
          <w:rFonts w:ascii="Inter" w:cs="Inter" w:eastAsia="Inter" w:hAnsi="Inter"/>
          <w:color w:val="1A2E3D"/>
          <w:sz w:val="20"/>
          <w:szCs w:val="20"/>
        </w:rPr>
        <w:t xml:space="preserve">Step 6: If the Contractor issues a Variation Order (additional scope = additional revenue), a new Contractor PO line is linked to the Site Master, increasing the revenue ceiling. A separate budget line for the VO is added (clearly labelled as VO).</w:t>
      </w:r>
    </w:p>
    <w:p>
      <w:pPr>
        <w:pStyle w:val="Heading2"/>
        <w:spacing w:after="120" w:before="320"/>
      </w:pPr>
      <w:r>
        <w:rPr>
          <w:rFonts w:ascii="Inter" w:cs="Inter" w:eastAsia="Inter" w:hAnsi="Inter"/>
          <w:b/>
          <w:bCs/>
          <w:color w:val="1565C0"/>
          <w:sz w:val="26"/>
          <w:szCs w:val="26"/>
        </w:rPr>
        <w:t xml:space="preserve">5.2  What Feeds the Actual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Source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How It Links</w:t>
            </w:r>
          </w:p>
        </w:tc>
        <w:tc>
          <w:tcPr>
            <w:tcW w:type="dxa" w:w="4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Timing</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ACC-PO (Sub-Con)</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ACC-PO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Committed on PO issue; payment updates ledger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ACC-PO (Supplier)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ACC-PO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Committed on goods receipt; payment updates supplier ledger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Expense Claims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Expense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Finance approval</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Overtime (OT)</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OT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Dept Head approval; cost = hours × rate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Food Allowance (FA)</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FA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Dept Head approval; daily rate × days allocated</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Manpower / Payroll</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Daily Allocation Form (see §5.3)</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PM assigns team to SM Job# daily; monthly payroll × allocation %</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Money Requests (MR)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MR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Finance approval; site-specific cash advance</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5.3  Daily Manpower Allocation Form</w:t>
      </w:r>
    </w:p>
    <w:p>
      <w:pPr>
        <w:pBdr>
          <w:left w:val="thick" w:color="2E7D32" w:sz="12" w:space="8"/>
        </w:pBdr>
        <w:spacing w:after="80" w:before="80"/>
        <w:ind w:left="400"/>
      </w:pPr>
      <w:r>
        <w:rPr>
          <w:rFonts w:ascii="Inter" w:cs="Inter" w:eastAsia="Inter" w:hAnsi="Inter"/>
          <w:b/>
          <w:bCs/>
          <w:color w:val="2E7D32"/>
          <w:sz w:val="18"/>
          <w:szCs w:val="18"/>
        </w:rPr>
        <w:t xml:space="preserve">✔  CONFIRMED: PM allocates team members to Site Masters daily using a dedicated form. If the contractor has provided a Job#, the PM selects that Job# as the reference. If no Job# exists, the PM selects the system-generated SM reference. This feeds payroll cost into the correct Site Master.</w:t>
      </w:r>
    </w:p>
    <w:p>
      <w:pPr>
        <w:spacing w:after="80" w:before="60"/>
      </w:pPr>
      <w:r>
        <w:rPr>
          <w:rFonts w:ascii="Inter" w:cs="Inter" w:eastAsia="Inter" w:hAnsi="Inter"/>
          <w:color w:val="1A2E3D"/>
          <w:sz w:val="20"/>
          <w:szCs w:val="20"/>
        </w:rPr>
        <w:t xml:space="preserve">Form fields:</w:t>
      </w:r>
    </w:p>
    <w:p>
      <w:pPr>
        <w:pStyle w:val="ListParagraph"/>
        <w:numPr>
          <w:ilvl w:val="0"/>
          <w:numId w:val="1"/>
        </w:numPr>
        <w:spacing w:after="40" w:before="40"/>
      </w:pPr>
      <w:r>
        <w:rPr>
          <w:rFonts w:ascii="Inter" w:cs="Inter" w:eastAsia="Inter" w:hAnsi="Inter"/>
          <w:color w:val="1A2E3D"/>
          <w:sz w:val="20"/>
          <w:szCs w:val="20"/>
        </w:rPr>
        <w:t xml:space="preserve">Date (defaults to today)</w:t>
      </w:r>
    </w:p>
    <w:p>
      <w:pPr>
        <w:pStyle w:val="ListParagraph"/>
        <w:numPr>
          <w:ilvl w:val="0"/>
          <w:numId w:val="1"/>
        </w:numPr>
        <w:spacing w:after="40" w:before="40"/>
      </w:pPr>
      <w:r>
        <w:rPr>
          <w:rFonts w:ascii="Inter" w:cs="Inter" w:eastAsia="Inter" w:hAnsi="Inter"/>
          <w:color w:val="1A2E3D"/>
          <w:sz w:val="20"/>
          <w:szCs w:val="20"/>
        </w:rPr>
        <w:t xml:space="preserve">Project # (dropdown — filters Site Masters below)</w:t>
      </w:r>
    </w:p>
    <w:p>
      <w:pPr>
        <w:pStyle w:val="ListParagraph"/>
        <w:numPr>
          <w:ilvl w:val="0"/>
          <w:numId w:val="1"/>
        </w:numPr>
        <w:spacing w:after="40" w:before="40"/>
      </w:pPr>
      <w:r>
        <w:rPr>
          <w:rFonts w:ascii="Inter" w:cs="Inter" w:eastAsia="Inter" w:hAnsi="Inter"/>
          <w:color w:val="1A2E3D"/>
          <w:sz w:val="20"/>
          <w:szCs w:val="20"/>
        </w:rPr>
        <w:t xml:space="preserve">Site Master / Job# (dropdown — all active Site Masters on the selected project)</w:t>
      </w:r>
    </w:p>
    <w:p>
      <w:pPr>
        <w:pStyle w:val="ListParagraph"/>
        <w:numPr>
          <w:ilvl w:val="0"/>
          <w:numId w:val="1"/>
        </w:numPr>
        <w:spacing w:after="40" w:before="40"/>
      </w:pPr>
      <w:r>
        <w:rPr>
          <w:rFonts w:ascii="Inter" w:cs="Inter" w:eastAsia="Inter" w:hAnsi="Inter"/>
          <w:color w:val="1A2E3D"/>
          <w:sz w:val="20"/>
          <w:szCs w:val="20"/>
        </w:rPr>
        <w:t xml:space="preserve">Employee (dropdown — active employees)</w:t>
      </w:r>
    </w:p>
    <w:p>
      <w:pPr>
        <w:pStyle w:val="ListParagraph"/>
        <w:numPr>
          <w:ilvl w:val="0"/>
          <w:numId w:val="1"/>
        </w:numPr>
        <w:spacing w:after="40" w:before="40"/>
      </w:pPr>
      <w:r>
        <w:rPr>
          <w:rFonts w:ascii="Inter" w:cs="Inter" w:eastAsia="Inter" w:hAnsi="Inter"/>
          <w:color w:val="1A2E3D"/>
          <w:sz w:val="20"/>
          <w:szCs w:val="20"/>
        </w:rPr>
        <w:t xml:space="preserve">Allocation % (e.g., 100% if full day on this site, 50% if split)</w:t>
      </w:r>
    </w:p>
    <w:p>
      <w:pPr>
        <w:pStyle w:val="ListParagraph"/>
        <w:numPr>
          <w:ilvl w:val="0"/>
          <w:numId w:val="1"/>
        </w:numPr>
        <w:spacing w:after="40" w:before="40"/>
      </w:pPr>
      <w:r>
        <w:rPr>
          <w:rFonts w:ascii="Inter" w:cs="Inter" w:eastAsia="Inter" w:hAnsi="Inter"/>
          <w:color w:val="1A2E3D"/>
          <w:sz w:val="20"/>
          <w:szCs w:val="20"/>
        </w:rPr>
        <w:t xml:space="preserve">Work Type (Field / Office / Remote / Travel Day)</w:t>
      </w:r>
    </w:p>
    <w:p>
      <w:pPr>
        <w:pStyle w:val="ListParagraph"/>
        <w:numPr>
          <w:ilvl w:val="0"/>
          <w:numId w:val="1"/>
        </w:numPr>
        <w:spacing w:after="40" w:before="40"/>
      </w:pPr>
      <w:r>
        <w:rPr>
          <w:rFonts w:ascii="Inter" w:cs="Inter" w:eastAsia="Inter" w:hAnsi="Inter"/>
          <w:color w:val="1A2E3D"/>
          <w:sz w:val="20"/>
          <w:szCs w:val="20"/>
        </w:rPr>
        <w:t xml:space="preserve">Remarks</w:t>
      </w:r>
    </w:p>
    <w:p>
      <w:pPr>
        <w:spacing w:after="80" w:before="60"/>
      </w:pPr>
      <w:r>
        <w:rPr>
          <w:rFonts w:ascii="Inter" w:cs="Inter" w:eastAsia="Inter" w:hAnsi="Inter"/>
          <w:color w:val="1A2E3D"/>
          <w:sz w:val="20"/>
          <w:szCs w:val="20"/>
        </w:rPr>
        <w:t xml:space="preserve">The system calculates: Manpower Cost = (Monthly Salary / Working Days) × Days Allocated × Allocation %. This accumulates in the Actual against the Site Master.</w:t>
      </w:r>
    </w:p>
    <w:p>
      <w:pPr>
        <w:pStyle w:val="Heading2"/>
        <w:spacing w:after="120" w:before="320"/>
      </w:pPr>
      <w:r>
        <w:rPr>
          <w:rFonts w:ascii="Inter" w:cs="Inter" w:eastAsia="Inter" w:hAnsi="Inter"/>
          <w:b/>
          <w:bCs/>
          <w:color w:val="1565C0"/>
          <w:sz w:val="26"/>
          <w:szCs w:val="26"/>
        </w:rPr>
        <w:t xml:space="preserve">5.4  Traffic Light Dashboard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00"/>
      </w:tblGrid>
      <w:tr>
        <w:tc>
          <w:tcPr>
            <w:tcW w:type="dxa" w:w="1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Signal</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Trigger</w:t>
            </w:r>
          </w:p>
        </w:tc>
        <w:tc>
          <w:tcPr>
            <w:tcW w:type="dxa" w:w="5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System Action</w:t>
            </w:r>
          </w:p>
        </w:tc>
      </w:tr>
      <w:tr>
        <w:tc>
          <w:tcPr>
            <w:tcW w:type="dxa" w:w="15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GREEN</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&lt; 70%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No action. Site tracking normally.</w:t>
            </w:r>
          </w:p>
        </w:tc>
      </w:tr>
      <w:tr>
        <w:tc>
          <w:tcPr>
            <w:tcW w:type="dxa" w:w="1500"/>
            <w:gridSpan w:val="1"/>
            <w:shd w:fill="FFF8E1"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AMBER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70–85%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PM. Review remaining milestone costs.</w:t>
            </w:r>
          </w:p>
        </w:tc>
      </w:tr>
      <w:tr>
        <w:tc>
          <w:tcPr>
            <w:tcW w:type="dxa" w:w="15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ORANGE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85–95%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Dept Head. No new ACC-POs without Dept Head approval.</w:t>
            </w:r>
          </w:p>
        </w:tc>
      </w:tr>
      <w:tr>
        <w:tc>
          <w:tcPr>
            <w:tcW w:type="dxa" w:w="1500"/>
            <w:gridSpan w:val="1"/>
            <w:shd w:fill="FFEBEE"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RED</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95–100%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Finance Director. PO issuance blocked pending review.</w:t>
            </w:r>
          </w:p>
        </w:tc>
      </w:tr>
      <w:tr>
        <w:tc>
          <w:tcPr>
            <w:tcW w:type="dxa" w:w="1500"/>
            <w:gridSpan w:val="1"/>
            <w:shd w:fill="EEEEEE"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CRITICAL</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&gt; Budget (overrun)</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GM. All new costs require GM approval. Contractor VO claim to be explored.</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6.  Party Ledger &amp; Payment Terms</w:t>
      </w:r>
    </w:p>
    <w:p>
      <w:pPr>
        <w:pStyle w:val="Heading2"/>
        <w:spacing w:after="120" w:before="320"/>
      </w:pPr>
      <w:r>
        <w:rPr>
          <w:rFonts w:ascii="Inter" w:cs="Inter" w:eastAsia="Inter" w:hAnsi="Inter"/>
          <w:b/>
          <w:bCs/>
          <w:color w:val="1565C0"/>
          <w:sz w:val="26"/>
          <w:szCs w:val="26"/>
        </w:rPr>
        <w:t xml:space="preserve">6.1  Payment Terms — Confirmed Model</w:t>
      </w:r>
    </w:p>
    <w:p>
      <w:pPr>
        <w:pBdr>
          <w:left w:val="thick" w:color="2E7D32" w:sz="12" w:space="8"/>
        </w:pBdr>
        <w:spacing w:after="80" w:before="80"/>
        <w:ind w:left="400"/>
      </w:pPr>
      <w:r>
        <w:rPr>
          <w:rFonts w:ascii="Inter" w:cs="Inter" w:eastAsia="Inter" w:hAnsi="Inter"/>
          <w:b/>
          <w:bCs/>
          <w:color w:val="2E7D32"/>
          <w:sz w:val="18"/>
          <w:szCs w:val="18"/>
        </w:rPr>
        <w:t xml:space="preserve">✔  CONFIRMED: Payment terms are negotiated per party, by category. There is no fixed standard. Each Party List entry stores its own payment terms. Overdue alerts trigger based on the individual party's agreed terms.</w:t>
      </w:r>
    </w:p>
    <w:p>
      <w:pPr>
        <w:spacing w:after="80" w:before="60"/>
      </w:pPr>
      <w:r>
        <w:rPr>
          <w:rFonts w:ascii="Inter" w:cs="Inter" w:eastAsia="Inter" w:hAnsi="Inter"/>
          <w:color w:val="1A2E3D"/>
          <w:sz w:val="20"/>
          <w:szCs w:val="20"/>
        </w:rPr>
        <w:t xml:space="preserve">Payment terms are stored at the Party record level (in the Party List). The structure: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00"/>
      </w:tblGrid>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Category</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Typical Range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Stored Where</w:t>
            </w:r>
          </w:p>
        </w:tc>
        <w:tc>
          <w:tcPr>
            <w:tcW w:type="dxa" w:w="2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Overdue Alert</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(incoming PO)</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30–60 days after invoice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Contractor</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Accounts Receivable overdue: invoice date + terms</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SUB-CONTRACTOR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30–45 days after site completion</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Sub-Con</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Accounts Payable overdue: completion date + terms</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SUPPLIER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15–30 days after goods receipt</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Supplier</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Accounts Payable overdue: GRN date + terms</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VENDOR (general)</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As negotiated</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Vendor</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Per agreed date</w:t>
            </w:r>
          </w:p>
        </w:tc>
      </w:tr>
    </w:tbl>
    <w:p>
      <w:pPr>
        <w:pStyle w:val="Heading2"/>
        <w:spacing w:after="120" w:before="320"/>
      </w:pPr>
      <w:r>
        <w:rPr>
          <w:rFonts w:ascii="Inter" w:cs="Inter" w:eastAsia="Inter" w:hAnsi="Inter"/>
          <w:b/>
          <w:bCs/>
          <w:color w:val="1565C0"/>
          <w:sz w:val="26"/>
          <w:szCs w:val="26"/>
        </w:rPr>
        <w:t xml:space="preserve">6.2  Contractor PO — Partial Payment Handling</w:t>
      </w:r>
    </w:p>
    <w:p>
      <w:pPr>
        <w:spacing w:after="80" w:before="60"/>
      </w:pPr>
      <w:r>
        <w:rPr>
          <w:rFonts w:ascii="Inter" w:cs="Inter" w:eastAsia="Inter" w:hAnsi="Inter"/>
          <w:color w:val="1A2E3D"/>
          <w:sz w:val="20"/>
          <w:szCs w:val="20"/>
        </w:rPr>
        <w:t xml:space="preserve">Contractors often pay in stages based on milestone completion (e.g., 60% on PAT, 40% on Handover). This is governed entirely by the Contractor's PO payment terms. The system handles this as follows:</w:t>
      </w:r>
    </w:p>
    <w:p>
      <w:pPr>
        <w:pStyle w:val="ListParagraph"/>
        <w:numPr>
          <w:ilvl w:val="0"/>
          <w:numId w:val="1"/>
        </w:numPr>
        <w:spacing w:after="40" w:before="40"/>
      </w:pPr>
      <w:r>
        <w:rPr>
          <w:rFonts w:ascii="Inter" w:cs="Inter" w:eastAsia="Inter" w:hAnsi="Inter"/>
          <w:color w:val="1A2E3D"/>
          <w:sz w:val="20"/>
          <w:szCs w:val="20"/>
        </w:rPr>
        <w:t xml:space="preserve">Contractor PO stores: payment schedule terms (e.g., "60% on PAT completion, 40% on handover acceptance")</w:t>
      </w:r>
    </w:p>
    <w:p>
      <w:pPr>
        <w:pStyle w:val="ListParagraph"/>
        <w:numPr>
          <w:ilvl w:val="0"/>
          <w:numId w:val="1"/>
        </w:numPr>
        <w:spacing w:after="40" w:before="40"/>
      </w:pPr>
      <w:r>
        <w:rPr>
          <w:rFonts w:ascii="Inter" w:cs="Inter" w:eastAsia="Inter" w:hAnsi="Inter"/>
          <w:color w:val="1A2E3D"/>
          <w:sz w:val="20"/>
          <w:szCs w:val="20"/>
        </w:rPr>
        <w:t xml:space="preserve">When a milestone gate is completed, the system prompts Finance: "Milestone [X] complete — SAR [amount] invoice can now be raised."</w:t>
      </w:r>
    </w:p>
    <w:p>
      <w:pPr>
        <w:pStyle w:val="ListParagraph"/>
        <w:numPr>
          <w:ilvl w:val="0"/>
          <w:numId w:val="1"/>
        </w:numPr>
        <w:spacing w:after="40" w:before="40"/>
      </w:pPr>
      <w:r>
        <w:rPr>
          <w:rFonts w:ascii="Inter" w:cs="Inter" w:eastAsia="Inter" w:hAnsi="Inter"/>
          <w:color w:val="1A2E3D"/>
          <w:sz w:val="20"/>
          <w:szCs w:val="20"/>
        </w:rPr>
        <w:t xml:space="preserve">Finance raises an invoice against the Site Master for the eligible amount.</w:t>
      </w:r>
    </w:p>
    <w:p>
      <w:pPr>
        <w:pStyle w:val="ListParagraph"/>
        <w:numPr>
          <w:ilvl w:val="0"/>
          <w:numId w:val="1"/>
        </w:numPr>
        <w:spacing w:after="40" w:before="40"/>
      </w:pPr>
      <w:r>
        <w:rPr>
          <w:rFonts w:ascii="Inter" w:cs="Inter" w:eastAsia="Inter" w:hAnsi="Inter"/>
          <w:color w:val="1A2E3D"/>
          <w:sz w:val="20"/>
          <w:szCs w:val="20"/>
        </w:rPr>
        <w:t xml:space="preserve">Revenue is recognised in the Site Master only when the invoice is raised (not on milestone completion).</w:t>
      </w:r>
    </w:p>
    <w:p>
      <w:pPr>
        <w:pStyle w:val="ListParagraph"/>
        <w:numPr>
          <w:ilvl w:val="0"/>
          <w:numId w:val="1"/>
        </w:numPr>
        <w:spacing w:after="40" w:before="40"/>
      </w:pPr>
      <w:r>
        <w:rPr>
          <w:rFonts w:ascii="Inter" w:cs="Inter" w:eastAsia="Inter" w:hAnsi="Inter"/>
          <w:color w:val="1A2E3D"/>
          <w:sz w:val="20"/>
          <w:szCs w:val="20"/>
        </w:rPr>
        <w:t xml:space="preserve">Payment receipt is recorded when the contractor remits — updating the Contractor ledger (Accounts Receivable).</w:t>
      </w:r>
    </w:p>
    <w:p>
      <w:pPr>
        <w:pStyle w:val="Heading2"/>
        <w:spacing w:after="120" w:before="320"/>
      </w:pPr>
      <w:r>
        <w:rPr>
          <w:rFonts w:ascii="Inter" w:cs="Inter" w:eastAsia="Inter" w:hAnsi="Inter"/>
          <w:b/>
          <w:bCs/>
          <w:color w:val="1565C0"/>
          <w:sz w:val="26"/>
          <w:szCs w:val="26"/>
        </w:rPr>
        <w:t xml:space="preserve">6.3  Three Ledgers — Automatic Updates</w:t>
      </w:r>
    </w:p>
    <w:p>
      <w:pPr>
        <w:spacing w:after="80" w:before="60"/>
      </w:pPr>
      <w:r>
        <w:rPr>
          <w:rFonts w:ascii="Inter" w:cs="Inter" w:eastAsia="Inter" w:hAnsi="Inter"/>
          <w:color w:val="1A2E3D"/>
          <w:sz w:val="20"/>
          <w:szCs w:val="20"/>
        </w:rPr>
        <w:t xml:space="preserve">Every financial transaction in the system updates one of three ledgers in real time: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Ledger</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Triggered By</w:t>
            </w:r>
          </w:p>
        </w:tc>
        <w:tc>
          <w:tcPr>
            <w:tcW w:type="dxa" w:w="4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Entries</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Ledger (AR)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Invoice raised against Site Master</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DR Invoice Amount → Contractor; CR Revenue. On payment receipt: DR Bank, CR Contractor.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Sub-Con Ledger (AP)</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ACC-PO issued to Sub-Con</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DR Sub-Con Cost (on PO issue). On payment: DR Sub-Con, CR Bank. Overdue shown after terms date.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Supplier Ledger (AP)</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ACC-PO + Goods Receipt</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DR Cost on GRN date (not PO date). On payment: DR Supplier, CR Bank. Overdue by GRN date + terms.</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7.  Site Master Form — Final Field Specification</w:t>
      </w:r>
    </w:p>
    <w:p>
      <w:pPr>
        <w:pStyle w:val="Heading2"/>
        <w:spacing w:after="120" w:before="320"/>
      </w:pPr>
      <w:r>
        <w:rPr>
          <w:rFonts w:ascii="Inter" w:cs="Inter" w:eastAsia="Inter" w:hAnsi="Inter"/>
          <w:b/>
          <w:bCs/>
          <w:color w:val="1565C0"/>
          <w:sz w:val="26"/>
          <w:szCs w:val="26"/>
        </w:rPr>
        <w:t xml:space="preserve">7.1  Header Fields (all units)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Field</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Type</w:t>
            </w:r>
          </w:p>
        </w:tc>
        <w:tc>
          <w:tcPr>
            <w:tcW w:type="dxa" w:w="51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Rules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SM-ID</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Auto (read-only)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Format SM-[UNIT]-[YY]-[SEQ]. Generated on create. Non-editable.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Client Job# / RFC#</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Optional — contractor-provided reference. Cross-linked to SM-ID. Searchable.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Service Unit</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NISU / TISU / CISU / ITSU. Determines milestone set shown below.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 Work Type</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(CISU only)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MW Links / Node Installation / Camera / Door Access / Data Centre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Project #</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Linked 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From Projects table. Sets entity + contractor context.</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SOW# / Charter# (NISU/ITSU)</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NISU: Statement of Work#. ITSU: Charter reference.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BOQ Model (NISU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PE-Agg Model-1 / Model-2 / custom — determines unit revenue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Type (TISU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4-Leg / Monopole / Tri-Leg</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Height (TISU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30m / 45m / 60m / 75m / 90m</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End Client</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STC / TAWAL / Mobily / Zain</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(Party List)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CONTRACTOR type only — Nokia / Huawei / Cisco / ZTE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PO #</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 + Amount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ceiling for this SM. Linked to incoming PO record.</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ITSU Billing Type (ITSU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Per Device / Fixed Price / Per Engineer-Day / Per Milestone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Region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Riyadh / Jeddah / Eastern / Makkah / Madinah / Other</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Status</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Open / Survey / Active / On Hold / PAT / Completed / Invoiced / Closed</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Start Date</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 DD/MM/YYYY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Target Completion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 DD/MM/YYYY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Used for schedule variance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Actual Completion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 DD/MM/YYYY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Auto-set when final milestone is checked Done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Our PM</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(Employees)</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Ratal PM from employee list</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Our Supervisor</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(Employees)</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Ratal Supervisor from employee list</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Created By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Auto</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Logged-in user</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7.2  Budget Section Fields</w:t>
      </w:r>
    </w:p>
    <w:p>
      <w:pPr>
        <w:spacing w:after="80" w:before="60"/>
      </w:pPr>
      <w:r>
        <w:rPr>
          <w:rFonts w:ascii="Inter" w:cs="Inter" w:eastAsia="Inter" w:hAnsi="Inter"/>
          <w:color w:val="1A2E3D"/>
          <w:sz w:val="20"/>
          <w:szCs w:val="20"/>
        </w:rPr>
        <w:t xml:space="preserve">Filled by PM / Dept Head. Locked after approval. Budget vs Actual shown side-by-side. Categories adapt to the Service Unit type: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2600"/>
      </w:tblGrid>
      <w:tr>
        <w:tc>
          <w:tcPr>
            <w:tcW w:type="dxa" w:w="2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Budget Category</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Budget SAR</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Actual SAR</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Variance</w:t>
            </w:r>
          </w:p>
        </w:tc>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Applies To</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Excavation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Compaction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Foundation &amp; Lean Concrete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Tower Erection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Fencing</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Testing &amp; Certification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 / CISU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Transportation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MW / Antenna Works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CISU MW Links</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Other</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Passive (cables, ODF, CBs)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NISU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Civil (steel, concrete, gravel)</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RF / Waveguide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CISU MW</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Other</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Manpower — Internal (from daily allocation)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Manpower — ITSU Engineer-Days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ITSU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Food Allowance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Site Expenses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Overhead / Margin Provision (%)</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 — % configurable per project</w:t>
            </w:r>
          </w:p>
        </w:tc>
      </w:tr>
      <w:tr>
        <w:tc>
          <w:tcPr>
            <w:tcW w:type="dxa" w:w="28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TOTAL BUDGET COST</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Auto-sum</w:t>
            </w:r>
          </w:p>
        </w:tc>
      </w:tr>
      <w:tr>
        <w:tc>
          <w:tcPr>
            <w:tcW w:type="dxa" w:w="28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PO — Revenue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From PO field; read-only here</w:t>
            </w:r>
          </w:p>
        </w:tc>
      </w:tr>
      <w:tr>
        <w:tc>
          <w:tcPr>
            <w:tcW w:type="dxa" w:w="28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BUDGETED MARGIN (SAR / %)</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Revenue minus Total Cost</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8.  Confirmed Decisions — Full Q&amp;A Record</w:t>
      </w:r>
    </w:p>
    <w:p>
      <w:pPr>
        <w:spacing w:after="80" w:before="60"/>
      </w:pPr>
      <w:r>
        <w:rPr>
          <w:rFonts w:ascii="Inter" w:cs="Inter" w:eastAsia="Inter" w:hAnsi="Inter"/>
          <w:color w:val="1A2E3D"/>
          <w:sz w:val="20"/>
          <w:szCs w:val="20"/>
        </w:rPr>
        <w:t xml:space="preserve">This section records all 10 open questions from v1.0 and their confirmed answers, for permanent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00"/>
      </w:tblGrid>
      <w:tr>
        <w:tc>
          <w:tcPr>
            <w:tcW w:type="dxa" w:w="400"/>
            <w:gridSpan w:val="1"/>
            <w:shd w:fill="2E7D32"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3200"/>
            <w:gridSpan w:val="1"/>
            <w:shd w:fill="2E7D32"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Question</w:t>
            </w:r>
          </w:p>
        </w:tc>
        <w:tc>
          <w:tcPr>
            <w:tcW w:type="dxa" w:w="5700"/>
            <w:gridSpan w:val="1"/>
            <w:shd w:fill="2E7D32"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Confirmed Answer</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NISU: does one Job# always map to exactly one BOQ model type?</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YES — each Job# has its own BOQ. Therefore 1 Job# = 1 BOQ model = 1 Site Master. The Contractor PO covers all quantities of a model type; individual Job# references are the per-site identifiers.</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TISU: one PO per tower, or cluster POs?</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One PO per tower. 1 Tower = 1 PO = 1 Site Master. Cluster POs may be considered in future but are not currently in use.</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 billing milestone for MW links?</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Billing per link commissioned within a cluster PO period. CISU also covers Node installations (bulk qty — e.g., SBM 8,000 nodes), Camera installations (unit qty), Door Access (unit qty), and Data Centre infrastructure (milestone/deliverable). All billing follows contractor PO quantity and payment terms. PM tracks authority approvals.</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ITSU: billing per device, per project, or per engineer-day?</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Billing per Charter (SOW). Each Charter defines the billing mechanism — this varies by client (per device, fixed price, per engineer-day, or per milestone). System stores billing type on the Site Master and applies accordingly.</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Overhead: fixed % of revenue or fixed SAR per unit?</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Margin must be built into the budget. Specific overhead % is to be defined per project by the PM / Finance at budget time. Field: "Overhead / Margin Provision (%)" — configurable per Site Master. System calculates actual margin automatically.</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Payroll allocation: timesheet, fixed allocation, or PM decides?</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PM decides daily, using the Daily Manpower Allocation Form. PM assigns each team member to a Site Master / Job# reference. If a client Job# exists, that is used. If not, the system-generated SM reference is used. Allocation % per day is PM-controlled.</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Variation Orders: additive or deductive?</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Any variation is tracked in the Actual — not added to the budget. Budget is locked once approved. A locked budget vs actual comparison is the correct way to measure variation (cost overrun = unplanned actual cost). If the Contractor issues a VO (additional revenue), a new PO line is added and a separate VO budget line is created — clearly labelled, not merged into the original budget.</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 authority approvals: who tracks permit status?</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PM tracks all authority permit status for CISU. Permit status is a blocking milestone in the Site Master — next activity cannot proceed until permit is marked as received. PM updates this field.</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Partial payment from contractor: how is it handled?</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Based on Contractor's PO payment terms. Contractor POs (incoming) are stored under the Purchase Orders tab. The PO record stores the payment schedule (e.g., 60% on PAT, 40% on Handover). When a milestone gate is completed, Finance is prompted to raise the eligible invoice amount. Ratal outgoing POs use format ACC-PO-XXXX + date.</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Payment terms: standard across all parties or per party?</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party, by category — not a fixed standard. Payment terms are stored at the individual Party record level in the Party List. Categories have typical ranges but each party negotiates individually. Overdue alerts trigger based on each party's specific agreed terms.</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9.  Sidebar Navigation &amp; Enhancement Inputs</w:t>
      </w:r>
    </w:p>
    <w:p>
      <w:pPr>
        <w:pStyle w:val="Heading2"/>
        <w:spacing w:after="120" w:before="320"/>
      </w:pPr>
      <w:r>
        <w:rPr>
          <w:rFonts w:ascii="Inter" w:cs="Inter" w:eastAsia="Inter" w:hAnsi="Inter"/>
          <w:b/>
          <w:bCs/>
          <w:color w:val="1565C0"/>
          <w:sz w:val="26"/>
          <w:szCs w:val="26"/>
        </w:rPr>
        <w:t xml:space="preserve">9.1  Sidebar Entry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Group</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Menu Item</w:t>
            </w:r>
          </w:p>
        </w:tc>
        <w:tc>
          <w:tcPr>
            <w:tcW w:type="dxa" w:w="4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Access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Projects</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All with Corporate access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 PROJECT_MANAGER</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NISU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NISU-specific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TISU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TISU-specific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CISU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CISU-specific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ITSU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ITSU-specific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Party List</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Purchase Orders</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 FIN</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9.2  Enhancement Inputs (Unchanged from v1.0)</w:t>
      </w:r>
    </w:p>
    <w:p>
      <w:pPr>
        <w:pStyle w:val="ListParagraph"/>
        <w:numPr>
          <w:ilvl w:val="0"/>
          <w:numId w:val="1"/>
        </w:numPr>
        <w:spacing w:after="40" w:before="40"/>
      </w:pPr>
      <w:r>
        <w:rPr>
          <w:rFonts w:ascii="Inter" w:cs="Inter" w:eastAsia="Inter" w:hAnsi="Inter"/>
          <w:color w:val="1A2E3D"/>
          <w:sz w:val="20"/>
          <w:szCs w:val="20"/>
        </w:rPr>
        <w:t xml:space="preserve">Milestone-Gated Invoicing: System blocks invoice creation until all gate milestones are marked Done with a document uploaded.</w:t>
      </w:r>
    </w:p>
    <w:p>
      <w:pPr>
        <w:pStyle w:val="ListParagraph"/>
        <w:numPr>
          <w:ilvl w:val="0"/>
          <w:numId w:val="1"/>
        </w:numPr>
        <w:spacing w:after="40" w:before="40"/>
      </w:pPr>
      <w:r>
        <w:rPr>
          <w:rFonts w:ascii="Inter" w:cs="Inter" w:eastAsia="Inter" w:hAnsi="Inter"/>
          <w:color w:val="1A2E3D"/>
          <w:sz w:val="20"/>
          <w:szCs w:val="20"/>
        </w:rPr>
        <w:t xml:space="preserve">Sub-Contractor Performance Rating: PM rates sub-con on quality, timeliness, safety, and pricing after each site — scores visible when assigning sub-cons to new Site Masters.</w:t>
      </w:r>
    </w:p>
    <w:p>
      <w:pPr>
        <w:pStyle w:val="ListParagraph"/>
        <w:numPr>
          <w:ilvl w:val="0"/>
          <w:numId w:val="1"/>
        </w:numPr>
        <w:spacing w:after="40" w:before="40"/>
      </w:pPr>
      <w:r>
        <w:rPr>
          <w:rFonts w:ascii="Inter" w:cs="Inter" w:eastAsia="Inter" w:hAnsi="Inter"/>
          <w:color w:val="1A2E3D"/>
          <w:sz w:val="20"/>
          <w:szCs w:val="20"/>
        </w:rPr>
        <w:t xml:space="preserve">Material Quantity Tracking: Budget stores quantity + unit price (not just total). Goods receipt records actual quantity. Wastage = ordered − installed, tracked per site.</w:t>
      </w:r>
    </w:p>
    <w:p>
      <w:pPr>
        <w:pStyle w:val="ListParagraph"/>
        <w:numPr>
          <w:ilvl w:val="0"/>
          <w:numId w:val="1"/>
        </w:numPr>
        <w:spacing w:after="40" w:before="40"/>
      </w:pPr>
      <w:r>
        <w:rPr>
          <w:rFonts w:ascii="Inter" w:cs="Inter" w:eastAsia="Inter" w:hAnsi="Inter"/>
          <w:color w:val="1A2E3D"/>
          <w:sz w:val="20"/>
          <w:szCs w:val="20"/>
        </w:rPr>
        <w:t xml:space="preserve">Cashflow Projection: Expected invoice date (milestone plan) vs sub-con/supplier payment due dates. Gap = site-level cashflow exposure. Aggregate = company cashflow requirement.</w:t>
      </w:r>
    </w:p>
    <w:p>
      <w:pPr>
        <w:pStyle w:val="ListParagraph"/>
        <w:numPr>
          <w:ilvl w:val="0"/>
          <w:numId w:val="1"/>
        </w:numPr>
        <w:spacing w:after="40" w:before="40"/>
      </w:pPr>
      <w:r>
        <w:rPr>
          <w:rFonts w:ascii="Inter" w:cs="Inter" w:eastAsia="Inter" w:hAnsi="Inter"/>
          <w:color w:val="1A2E3D"/>
          <w:sz w:val="20"/>
          <w:szCs w:val="20"/>
        </w:rPr>
        <w:t xml:space="preserve">PAT Document Repository: Required document types per milestone. A milestone cannot be marked Done without a document uploaded. Visible to Finance before invoicing.</w:t>
      </w:r>
    </w:p>
    <w:p>
      <w:pPr>
        <w:pStyle w:val="ListParagraph"/>
        <w:numPr>
          <w:ilvl w:val="0"/>
          <w:numId w:val="1"/>
        </w:numPr>
        <w:spacing w:after="40" w:before="40"/>
      </w:pPr>
      <w:r>
        <w:rPr>
          <w:rFonts w:ascii="Inter" w:cs="Inter" w:eastAsia="Inter" w:hAnsi="Inter"/>
          <w:color w:val="1A2E3D"/>
          <w:sz w:val="20"/>
          <w:szCs w:val="20"/>
        </w:rPr>
        <w:t xml:space="preserve">Payment Terms Ledger Integration: Sub-Con/Supplier ledgers auto-update on PO issue and payment. Contractor (AR) ledger auto-updates on invoice and payment receipt.</w:t>
      </w:r>
    </w:p>
    <w:p>
      <w:pPr>
        <w:spacing w:after="80" w:before="80"/>
      </w:pPr>
      <w:r>
        <w:t xml:space="preserve"/>
      </w:r>
    </w:p>
    <w:p>
      <w:pPr>
        <w:pStyle w:val="Heading1"/>
        <w:pBdr>
          <w:bottom w:val="single" w:color="1565C0" w:sz="4" w:space="4"/>
        </w:pBdr>
        <w:spacing w:after="160" w:before="400"/>
      </w:pPr>
      <w:r>
        <w:rPr>
          <w:rFonts w:ascii="Inter" w:cs="Inter" w:eastAsia="Inter" w:hAnsi="Inter"/>
          <w:b/>
          <w:bCs/>
          <w:color w:val="1A2E3D"/>
          <w:sz w:val="32"/>
          <w:szCs w:val="32"/>
        </w:rPr>
        <w:t xml:space="preserve">10.  Next Steps — Ready to Code</w:t>
      </w:r>
    </w:p>
    <w:p>
      <w:pPr>
        <w:spacing w:after="80" w:before="60"/>
      </w:pPr>
      <w:r>
        <w:rPr>
          <w:rFonts w:ascii="Inter" w:cs="Inter" w:eastAsia="Inter" w:hAnsi="Inter"/>
          <w:color w:val="1A2E3D"/>
          <w:sz w:val="20"/>
          <w:szCs w:val="20"/>
        </w:rPr>
        <w:t xml:space="preserve">All open questions are resolved. The following sequence is recommended for the coding phase: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00"/>
      </w:tblGrid>
      <w:tr>
        <w:tc>
          <w:tcPr>
            <w:tcW w:type="dxa" w:w="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Step</w:t>
            </w:r>
          </w:p>
        </w:tc>
        <w:tc>
          <w:tcPr>
            <w:tcW w:type="dxa" w:w="6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Scope</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SQL Migration</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Add site_masters table + daily_allocations table + update purchase_orders for ACC-PO-XXXX pattern and incoming/outgoing distinction. Add SM# reference column to expenses, overtime_requests, food_allowances, money_requests.</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Form</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Build form per §7. Service Unit selector dynamically shows/hides fields. Auto-generate SM-ID. Link to Project + Contractor PO.</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Milestone Module</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Milestone checklist adapts to unit type. Gate enforcement. Document upload per milestone. Invoice prompt on gate completion.</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Budget Section</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Budget form with lock-on-approval workflow. Side-by-side Budget vs Actual. Traffic light dashboard.</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ACC-PO Integration</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Outgoing PO form: ACC-PO-XXXX numbering. Link each PO to a Site Master. PO issue updates sub-con/supplier ledger.</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Daily Allocation Form</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New form: Date + Project + SM/Job# + Employee + Allocation % + Work Type. Monthly payroll apportionment calculation.</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Ledger Views</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Contractor AR view, Sub-Con AP view, Supplier AP view. Overdue alerts per party terms. Aged payables report.</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List View</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Filter by unit / status / project / traffic light. Summary cards at top. Sortable columns.</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Reports</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Site Master P&amp;L (per site). Project roll-up P&amp;L. Overdue ledger. Budget burn report. Cashflow projection.</w:t>
            </w:r>
          </w:p>
        </w:tc>
      </w:tr>
    </w:tbl>
    <w:p>
      <w:pPr>
        <w:spacing w:after="80" w:before="80"/>
      </w:pPr>
      <w:r>
        <w:t xml:space="preserve"/>
      </w:r>
    </w:p>
    <w:p>
      <w:pPr>
        <w:pBdr>
          <w:top w:val="single" w:color="DDDDDD" w:sz="4"/>
        </w:pBdr>
        <w:spacing w:after="0" w:before="400"/>
        <w:jc w:val="center"/>
      </w:pPr>
      <w:r>
        <w:rPr>
          <w:rFonts w:ascii="Inter" w:cs="Inter" w:eastAsia="Inter" w:hAnsi="Inter"/>
          <w:i/>
          <w:iCs/>
          <w:color w:val="999999"/>
          <w:sz w:val="16"/>
          <w:szCs w:val="16"/>
        </w:rPr>
        <w:t xml:space="preserve">Ratal Group — Site Master Framework v2.0  |  All Questions Resolved  |  July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