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Inter" w:cs="Inter" w:eastAsia="Inter" w:hAnsi="Inter"/>
          <w:b/>
          <w:bCs/>
          <w:color w:val="1565C0"/>
          <w:sz w:val="52"/>
          <w:szCs w:val="52"/>
        </w:rPr>
        <w:t xml:space="preserve">RATAL GROUP</w:t>
      </w:r>
    </w:p>
    <w:p>
      <w:pPr>
        <w:spacing w:after="100" w:before="0"/>
        <w:jc w:val="center"/>
      </w:pPr>
      <w:r>
        <w:rPr>
          <w:rFonts w:ascii="Inter" w:cs="Inter" w:eastAsia="Inter" w:hAnsi="Inter"/>
          <w:color w:val="6B7C93"/>
          <w:sz w:val="28"/>
          <w:szCs w:val="28"/>
        </w:rPr>
        <w:t xml:space="preserve">Travel &amp; Corporate Management System</w:t>
      </w:r>
    </w:p>
    <w:p>
      <w:pPr>
        <w:pBdr>
          <w:bottom w:val="single" w:color="FF385C" w:sz="4"/>
        </w:pBdr>
        <w:spacing w:after="80" w:before="200"/>
        <w:jc w:val="center"/>
      </w:pPr>
      <w:r>
        <w:t xml:space="preserve"/>
      </w:r>
    </w:p>
    <w:p>
      <w:pPr>
        <w:spacing w:after="160" w:before="400"/>
        <w:jc w:val="center"/>
      </w:pPr>
      <w:r>
        <w:rPr>
          <w:rFonts w:ascii="Inter" w:cs="Inter" w:eastAsia="Inter" w:hAnsi="Inter"/>
          <w:b/>
          <w:bCs/>
          <w:color w:val="1A2E3D"/>
          <w:sz w:val="44"/>
          <w:szCs w:val="44"/>
        </w:rPr>
        <w:t xml:space="preserve">SITE MASTER &amp; BUDGET VS ACTUAL</w:t>
      </w:r>
    </w:p>
    <w:p>
      <w:pPr>
        <w:spacing w:after="100" w:before="0"/>
        <w:jc w:val="center"/>
      </w:pPr>
      <w:r>
        <w:rPr>
          <w:rFonts w:ascii="Inter" w:cs="Inter" w:eastAsia="Inter" w:hAnsi="Inter"/>
          <w:color w:val="1565C0"/>
          <w:sz w:val="28"/>
          <w:szCs w:val="28"/>
        </w:rPr>
        <w:t xml:space="preserve">Operational &amp; Financial Control Framework</w:t>
      </w:r>
    </w:p>
    <w:p>
      <w:pPr>
        <w:spacing w:after="60" w:before="0"/>
        <w:jc w:val="center"/>
      </w:pPr>
      <w:r>
        <w:rPr>
          <w:rFonts w:ascii="Inter" w:cs="Inter" w:eastAsia="Inter" w:hAnsi="Inter"/>
          <w:i/>
          <w:iCs/>
          <w:color w:val="6B7C93"/>
          <w:sz w:val="22"/>
          <w:szCs w:val="22"/>
        </w:rPr>
        <w:t xml:space="preserve">Covering: NISU · TISU · CISU · ITSU</w:t>
      </w:r>
    </w:p>
    <w:p>
      <w:pPr>
        <w:spacing w:after="0" w:before="400"/>
        <w:jc w:val="center"/>
      </w:pPr>
      <w:r>
        <w:rPr>
          <w:rFonts w:ascii="Inter" w:cs="Inter" w:eastAsia="Inter" w:hAnsi="Inter"/>
          <w:color w:val="999999"/>
          <w:sz w:val="18"/>
          <w:szCs w:val="18"/>
        </w:rPr>
        <w:t xml:space="preserve">Version 1.0  |  July 2026  |  CONFIDENTIAL</w:t>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1.  Executive Summary</w:t>
      </w:r>
    </w:p>
    <w:p>
      <w:pPr>
        <w:spacing w:after="80" w:before="60"/>
      </w:pPr>
      <w:r>
        <w:rPr>
          <w:rFonts w:ascii="Inter" w:cs="Inter" w:eastAsia="Inter" w:hAnsi="Inter"/>
          <w:color w:val="1A2E3D"/>
          <w:sz w:val="20"/>
          <w:szCs w:val="20"/>
        </w:rPr>
        <w:t xml:space="preserve">Ratal Group delivers telecom and civil infrastructure services across Saudi Arabia as a sub-contractor to main contractors (Nokia, Huawei, Cisco, ZTE) whose end-clients are STC, TAWAL, Mobily, and Zain.</w:t>
      </w:r>
    </w:p>
    <w:p>
      <w:pPr>
        <w:spacing w:after="80" w:before="60"/>
      </w:pPr>
      <w:r>
        <w:rPr>
          <w:rFonts w:ascii="Inter" w:cs="Inter" w:eastAsia="Inter" w:hAnsi="Inter"/>
          <w:color w:val="1A2E3D"/>
          <w:sz w:val="20"/>
          <w:szCs w:val="20"/>
        </w:rPr>
        <w:t xml:space="preserve">Revenue is earned against Contractor Purchase Orders (POs). Costs arise from sub-contractors, material suppliers, internal manpower, and field expenses. Today these are tracked in Excel VBA — fragmented across ledgers, payment forms, and journals with no real-time view of profitability per site or job.</w:t>
      </w:r>
    </w:p>
    <w:p>
      <w:pPr>
        <w:spacing w:after="80" w:before="60"/>
      </w:pPr>
      <w:r>
        <w:rPr>
          <w:rFonts w:ascii="Inter" w:cs="Inter" w:eastAsia="Inter" w:hAnsi="Inter"/>
          <w:color w:val="1A2E3D"/>
          <w:sz w:val="20"/>
          <w:szCs w:val="20"/>
        </w:rPr>
        <w:t xml:space="preserve">This document defines the Site Master — a unified digital record that binds the Contractor PO (the revenue ceiling) to every cost element incurred to deliver that site, producing a live Budget vs Actual view at site, job, and project level.</w:t>
      </w:r>
    </w:p>
    <w:p>
      <w:pPr>
        <w:spacing w:after="80" w:before="60"/>
      </w:pPr>
      <w:r>
        <w:rPr>
          <w:rFonts w:ascii="Inter" w:cs="Inter" w:eastAsia="Inter" w:hAnsi="Inter"/>
          <w:color w:val="1A2E3D"/>
          <w:sz w:val="20"/>
          <w:szCs w:val="20"/>
        </w:rPr>
        <w:t xml:space="preserve">The framework covers four service delivery units, each with a distinct workflow:</w:t>
      </w:r>
    </w:p>
    <w:p>
      <w:pPr>
        <w:pStyle w:val="ListParagraph"/>
        <w:numPr>
          <w:ilvl w:val="0"/>
          <w:numId w:val="1"/>
        </w:numPr>
        <w:spacing w:after="40" w:before="40"/>
      </w:pPr>
      <w:r>
        <w:rPr>
          <w:rFonts w:ascii="Inter" w:cs="Inter" w:eastAsia="Inter" w:hAnsi="Inter"/>
          <w:color w:val="1A2E3D"/>
          <w:sz w:val="20"/>
          <w:szCs w:val="20"/>
        </w:rPr>
        <w:t xml:space="preserve">NISU — Network Infrastructure Services Unit (telecom equipment installation)</w:t>
      </w:r>
    </w:p>
    <w:p>
      <w:pPr>
        <w:pStyle w:val="ListParagraph"/>
        <w:numPr>
          <w:ilvl w:val="0"/>
          <w:numId w:val="1"/>
        </w:numPr>
        <w:spacing w:after="40" w:before="40"/>
      </w:pPr>
      <w:r>
        <w:rPr>
          <w:rFonts w:ascii="Inter" w:cs="Inter" w:eastAsia="Inter" w:hAnsi="Inter"/>
          <w:color w:val="1A2E3D"/>
          <w:sz w:val="20"/>
          <w:szCs w:val="20"/>
        </w:rPr>
        <w:t xml:space="preserve">TISU — Tower Infrastructure Services Unit (tower civil &amp; erection works)</w:t>
      </w:r>
    </w:p>
    <w:p>
      <w:pPr>
        <w:pStyle w:val="ListParagraph"/>
        <w:numPr>
          <w:ilvl w:val="0"/>
          <w:numId w:val="1"/>
        </w:numPr>
        <w:spacing w:after="40" w:before="40"/>
      </w:pPr>
      <w:r>
        <w:rPr>
          <w:rFonts w:ascii="Inter" w:cs="Inter" w:eastAsia="Inter" w:hAnsi="Inter"/>
          <w:color w:val="1A2E3D"/>
          <w:sz w:val="20"/>
          <w:szCs w:val="20"/>
        </w:rPr>
        <w:t xml:space="preserve">CISU — Civil Infrastructure Services Unit (data centres, microwave links)</w:t>
      </w:r>
    </w:p>
    <w:p>
      <w:pPr>
        <w:pStyle w:val="ListParagraph"/>
        <w:numPr>
          <w:ilvl w:val="0"/>
          <w:numId w:val="1"/>
        </w:numPr>
        <w:spacing w:after="40" w:before="40"/>
      </w:pPr>
      <w:r>
        <w:rPr>
          <w:rFonts w:ascii="Inter" w:cs="Inter" w:eastAsia="Inter" w:hAnsi="Inter"/>
          <w:color w:val="1A2E3D"/>
          <w:sz w:val="20"/>
          <w:szCs w:val="20"/>
        </w:rPr>
        <w:t xml:space="preserve">ITSU — IT Services Unit (router/switch configuration, dedicated resource pool)</w:t>
      </w:r>
    </w:p>
    <w:p>
      <w:pPr>
        <w:spacing w:after="80" w:before="80"/>
      </w:pPr>
      <w:r>
        <w:t xml:space="preserve"/>
      </w:r>
    </w:p>
    <w:p>
      <w:pPr>
        <w:pStyle w:val="Heading1"/>
        <w:pBdr>
          <w:bottom w:val="single" w:color="1565C0" w:sz="4" w:space="4"/>
        </w:pBdr>
        <w:spacing w:after="160" w:before="400"/>
      </w:pPr>
      <w:r>
        <w:rPr>
          <w:rFonts w:ascii="Inter" w:cs="Inter" w:eastAsia="Inter" w:hAnsi="Inter"/>
          <w:b/>
          <w:bCs/>
          <w:color w:val="1A2E3D"/>
          <w:sz w:val="32"/>
          <w:szCs w:val="32"/>
        </w:rPr>
        <w:t xml:space="preserve">2.  Business Model &amp; Revenue Structure</w:t>
      </w:r>
    </w:p>
    <w:p>
      <w:pPr>
        <w:pStyle w:val="Heading2"/>
        <w:spacing w:after="120" w:before="320"/>
      </w:pPr>
      <w:r>
        <w:rPr>
          <w:rFonts w:ascii="Inter" w:cs="Inter" w:eastAsia="Inter" w:hAnsi="Inter"/>
          <w:b/>
          <w:bCs/>
          <w:color w:val="1565C0"/>
          <w:sz w:val="26"/>
          <w:szCs w:val="26"/>
        </w:rPr>
        <w:t xml:space="preserve">2.1  The Contracting Chain</w:t>
      </w:r>
    </w:p>
    <w:p>
      <w:pPr>
        <w:spacing w:after="80" w:before="60"/>
      </w:pPr>
      <w:r>
        <w:rPr>
          <w:rFonts w:ascii="Inter" w:cs="Inter" w:eastAsia="Inter" w:hAnsi="Inter"/>
          <w:color w:val="1A2E3D"/>
          <w:sz w:val="20"/>
          <w:szCs w:val="20"/>
        </w:rPr>
        <w:t xml:space="preserve">Ratal Group sits at tier 2 in a three-tier delivery chain: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00"/>
      </w:tblGrid>
      <w:tr>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Tier</w:t>
            </w:r>
          </w:p>
        </w:tc>
        <w:tc>
          <w:tcPr>
            <w:tcW w:type="dxa" w:w="3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Party</w:t>
            </w:r>
          </w:p>
        </w:tc>
        <w:tc>
          <w:tcPr>
            <w:tcW w:type="dxa" w:w="3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Role</w:t>
            </w:r>
          </w:p>
        </w:tc>
      </w:tr>
      <w:tr>
        <w:tc>
          <w:tcPr>
            <w:tcW w:type="dxa" w:w="24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Tier 1</w:t>
            </w:r>
          </w:p>
        </w:tc>
        <w:tc>
          <w:tcPr>
            <w:tcW w:type="dxa" w:w="3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STC / TAWAL / Mobily / Zain</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End Client — owns the network and sets the specification</w:t>
            </w:r>
          </w:p>
        </w:tc>
      </w:tr>
      <w:tr>
        <w:tc>
          <w:tcPr>
            <w:tcW w:type="dxa" w:w="2400"/>
            <w:gridSpan w:val="1"/>
            <w:shd w:fill="E8F5E9"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Tier 2</w:t>
            </w:r>
          </w:p>
        </w:tc>
        <w:tc>
          <w:tcPr>
            <w:tcW w:type="dxa" w:w="3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Nokia / Huawei / Cisco / ZTE (Main Contractor)</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Prime Contractor — holds the main contract with the end client, issues POs to Ratal Group</w:t>
            </w:r>
          </w:p>
        </w:tc>
      </w:tr>
      <w:tr>
        <w:tc>
          <w:tcPr>
            <w:tcW w:type="dxa" w:w="2400"/>
            <w:gridSpan w:val="1"/>
            <w:shd w:fill="FFF3E0"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Tier 3</w:t>
            </w:r>
          </w:p>
        </w:tc>
        <w:tc>
          <w:tcPr>
            <w:tcW w:type="dxa" w:w="3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Ratal Group (Sub-Contractor)</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Executes field delivery; invoices the main contractor; manages own sub-contractors and suppliers</w:t>
            </w:r>
          </w:p>
        </w:tc>
      </w:tr>
      <w:tr>
        <w:tc>
          <w:tcPr>
            <w:tcW w:type="dxa" w:w="2400"/>
            <w:gridSpan w:val="1"/>
            <w:shd w:fill="F3E5F5"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Tier 4</w:t>
            </w:r>
          </w:p>
        </w:tc>
        <w:tc>
          <w:tcPr>
            <w:tcW w:type="dxa" w:w="3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Ratal's Sub-Contractors &amp; Suppliers</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Specialised activity sub-cons (excavation, erection, fencing) and material suppliers (cables, cabinets, steel)</w:t>
            </w:r>
          </w:p>
        </w:tc>
      </w:tr>
    </w:tbl>
    <w:p>
      <w:pPr>
        <w:spacing w:after="80" w:before="80"/>
      </w:pPr>
      <w:r>
        <w:t xml:space="preserve"/>
      </w:r>
    </w:p>
    <w:p>
      <w:pPr>
        <w:pStyle w:val="Heading2"/>
        <w:spacing w:after="120" w:before="320"/>
      </w:pPr>
      <w:r>
        <w:rPr>
          <w:rFonts w:ascii="Inter" w:cs="Inter" w:eastAsia="Inter" w:hAnsi="Inter"/>
          <w:b/>
          <w:bCs/>
          <w:color w:val="1565C0"/>
          <w:sz w:val="26"/>
          <w:szCs w:val="26"/>
        </w:rPr>
        <w:t xml:space="preserve">2.2  How Revenue is Structured</w:t>
      </w:r>
    </w:p>
    <w:p>
      <w:pPr>
        <w:spacing w:after="80" w:before="60"/>
      </w:pPr>
      <w:r>
        <w:rPr>
          <w:rFonts w:ascii="Inter" w:cs="Inter" w:eastAsia="Inter" w:hAnsi="Inter"/>
          <w:color w:val="1A2E3D"/>
          <w:sz w:val="20"/>
          <w:szCs w:val="20"/>
        </w:rPr>
        <w:t xml:space="preserve">The Contractor issues POs in two distinct patterns depending on the unit type: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00"/>
      </w:tblGrid>
      <w:tr>
        <w:tc>
          <w:tcPr>
            <w:tcW w:type="dxa" w:w="1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Unit</w:t>
            </w:r>
          </w:p>
        </w:tc>
        <w:tc>
          <w:tcPr>
            <w:tcW w:type="dxa" w:w="3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PO Pattern</w:t>
            </w:r>
          </w:p>
        </w:tc>
        <w:tc>
          <w:tcPr>
            <w:tcW w:type="dxa" w:w="4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Example</w:t>
            </w:r>
          </w:p>
        </w:tc>
      </w:tr>
      <w:tr>
        <w:tc>
          <w:tcPr>
            <w:tcW w:type="dxa" w:w="16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NISU</w:t>
            </w:r>
          </w:p>
        </w:tc>
        <w:tc>
          <w:tcPr>
            <w:tcW w:type="dxa" w:w="30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Model-based BOQ (not per site)</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PE-Agg Model-1 × 30 @ SAR 65,000 = SAR 1,950,000
PE-Agg Model-2 × 42 @ SAR 75,000 = SAR 3,150,000</w:t>
            </w:r>
          </w:p>
        </w:tc>
      </w:tr>
      <w:tr>
        <w:tc>
          <w:tcPr>
            <w:tcW w:type="dxa" w:w="1600"/>
            <w:gridSpan w:val="1"/>
            <w:shd w:fill="E8F5E9"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TISU</w:t>
            </w:r>
          </w:p>
        </w:tc>
        <w:tc>
          <w:tcPr>
            <w:tcW w:type="dxa" w:w="30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One PO per tower / site</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60 m Tower TAWAL × 25 @ SAR 180,000
45 m Tower Mobily × 15 @ SAR 140,000
60 m Tower Zain × 10 @ SAR 150,000</w:t>
            </w:r>
          </w:p>
        </w:tc>
      </w:tr>
      <w:tr>
        <w:tc>
          <w:tcPr>
            <w:tcW w:type="dxa" w:w="1600"/>
            <w:gridSpan w:val="1"/>
            <w:shd w:fill="EDE7F6"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CISU</w:t>
            </w:r>
          </w:p>
        </w:tc>
        <w:tc>
          <w:tcPr>
            <w:tcW w:type="dxa" w:w="30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Milestone / deliverable-based</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Data centre phase completion or MW link commissioning milestones</w:t>
            </w:r>
          </w:p>
        </w:tc>
      </w:tr>
      <w:tr>
        <w:tc>
          <w:tcPr>
            <w:tcW w:type="dxa" w:w="1600"/>
            <w:gridSpan w:val="1"/>
            <w:shd w:fill="E0F2F1"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ITSU</w:t>
            </w:r>
          </w:p>
        </w:tc>
        <w:tc>
          <w:tcPr>
            <w:tcW w:type="dxa" w:w="30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Per-device or per-project configuration</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Router config × 120 devices @ SAR 1,200 each</w:t>
            </w:r>
          </w:p>
        </w:tc>
      </w:tr>
    </w:tbl>
    <w:p>
      <w:pPr>
        <w:pBdr>
          <w:left w:val="thick" w:color="FF385C" w:sz="12" w:space="8"/>
        </w:pBdr>
        <w:spacing w:after="80" w:before="80"/>
        <w:ind w:left="400"/>
      </w:pPr>
      <w:r>
        <w:rPr>
          <w:rFonts w:ascii="Inter" w:cs="Inter" w:eastAsia="Inter" w:hAnsi="Inter"/>
          <w:i/>
          <w:iCs/>
          <w:color w:val="E65100"/>
          <w:sz w:val="18"/>
          <w:szCs w:val="18"/>
        </w:rPr>
        <w:t xml:space="preserve">Key Insight: Ratal's cost structure must map back to these PO patterns. For NISU, costs roll up to the model type; for TISU, each tower is its own profit centre.</w:t>
      </w:r>
    </w:p>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3.  The Four Service Units</w:t>
      </w:r>
    </w:p>
    <w:p>
      <w:pPr>
        <w:pStyle w:val="Heading2"/>
        <w:spacing w:after="120" w:before="320"/>
      </w:pPr>
      <w:r>
        <w:rPr>
          <w:rFonts w:ascii="Inter" w:cs="Inter" w:eastAsia="Inter" w:hAnsi="Inter"/>
          <w:b/>
          <w:bCs/>
          <w:color w:val="1565C0"/>
          <w:sz w:val="26"/>
          <w:szCs w:val="26"/>
        </w:rPr>
        <w:t xml:space="preserve">3.1  NISU — Network Infrastructure Services Unit</w:t>
      </w:r>
    </w:p>
    <w:p>
      <w:pPr>
        <w:pStyle w:val="Heading3"/>
        <w:spacing w:after="80" w:before="240"/>
      </w:pPr>
      <w:r>
        <w:rPr>
          <w:rFonts w:ascii="Inter" w:cs="Inter" w:eastAsia="Inter" w:hAnsi="Inter"/>
          <w:b/>
          <w:bCs/>
          <w:color w:val="1A2E3D"/>
          <w:sz w:val="22"/>
          <w:szCs w:val="22"/>
        </w:rPr>
        <w:t xml:space="preserve">Scope</w:t>
      </w:r>
    </w:p>
    <w:p>
      <w:pPr>
        <w:spacing w:after="80" w:before="60"/>
      </w:pPr>
      <w:r>
        <w:rPr>
          <w:rFonts w:ascii="Inter" w:cs="Inter" w:eastAsia="Inter" w:hAnsi="Inter"/>
          <w:color w:val="1A2E3D"/>
          <w:sz w:val="20"/>
          <w:szCs w:val="20"/>
        </w:rPr>
        <w:t xml:space="preserve">NISU delivers the physical installation of active telecom network equipment — routers, chassis, cards, and SFPs. Typical projects involve ASR-9922 installations classified as BOQ models (e.g., PE-Agg Model-1, PE-Agg Model-2) at STC, TAWAL, Mobily, and Zain sites.</w:t>
      </w:r>
    </w:p>
    <w:p>
      <w:pPr>
        <w:spacing w:after="80" w:before="60"/>
      </w:pPr>
      <w:r>
        <w:rPr>
          <w:rFonts w:ascii="Inter" w:cs="Inter" w:eastAsia="Inter" w:hAnsi="Inter"/>
          <w:color w:val="1A2E3D"/>
          <w:sz w:val="20"/>
          <w:szCs w:val="20"/>
        </w:rPr>
        <w:t xml:space="preserve">Key classification: Each installation activity is mapped to a Job# (the site-level identifier) and a SOW# (Statement of Work — the technical specification for that model at that site).</w:t>
      </w:r>
    </w:p>
    <w:p>
      <w:pPr>
        <w:pStyle w:val="Heading3"/>
        <w:spacing w:after="80" w:before="240"/>
      </w:pPr>
      <w:r>
        <w:rPr>
          <w:rFonts w:ascii="Inter" w:cs="Inter" w:eastAsia="Inter" w:hAnsi="Inter"/>
          <w:b/>
          <w:bCs/>
          <w:color w:val="1A2E3D"/>
          <w:sz w:val="22"/>
          <w:szCs w:val="22"/>
        </w:rPr>
        <w:t xml:space="preserve">NISU Delivery Milestones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600"/>
        <w:gridCol w:w="3900"/>
      </w:tblGrid>
      <w:tr>
        <w:tc>
          <w:tcPr>
            <w:tcW w:type="dxa" w:w="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Milestone</w:t>
            </w:r>
          </w:p>
        </w:tc>
        <w:tc>
          <w:tcPr>
            <w:tcW w:type="dxa" w:w="2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Responsible</w:t>
            </w:r>
          </w:p>
        </w:tc>
        <w:tc>
          <w:tcPr>
            <w:tcW w:type="dxa" w:w="39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Invoicing / Gate</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Survey</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NISU Survey Team</w:t>
            </w:r>
          </w:p>
        </w:tc>
        <w:tc>
          <w:tcPr>
            <w:tcW w:type="dxa" w:w="3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8"/>
                <w:szCs w:val="18"/>
              </w:rPr>
              <w:t xml:space="preserve">Mandatory before floor plan submission</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2</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Floor Plan Approval</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Client / Contractor</w:t>
            </w:r>
          </w:p>
        </w:tc>
        <w:tc>
          <w:tcPr>
            <w:tcW w:type="dxa" w:w="3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8"/>
                <w:szCs w:val="18"/>
              </w:rPr>
              <w:t xml:space="preserve">Gate: installation cannot start without this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3</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Power Approval</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Facility / Client</w:t>
            </w:r>
          </w:p>
        </w:tc>
        <w:tc>
          <w:tcPr>
            <w:tcW w:type="dxa" w:w="3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8"/>
                <w:szCs w:val="18"/>
              </w:rPr>
              <w:t xml:space="preserve">Gate: power cabling cannot proceed</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4</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MOP Submission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NISU Technical Team</w:t>
            </w:r>
          </w:p>
        </w:tc>
        <w:tc>
          <w:tcPr>
            <w:tcW w:type="dxa" w:w="3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8"/>
                <w:szCs w:val="18"/>
              </w:rPr>
              <w:t xml:space="preserve">MOP covers active + passive components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5</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MOP Approval</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Contractor / Client</w:t>
            </w:r>
          </w:p>
        </w:tc>
        <w:tc>
          <w:tcPr>
            <w:tcW w:type="dxa" w:w="3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8"/>
                <w:szCs w:val="18"/>
              </w:rPr>
              <w:t xml:space="preserve">Gate: installation start clearance</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6</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Passive Material Procurement</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Procurement / Suppliers</w:t>
            </w:r>
          </w:p>
        </w:tc>
        <w:tc>
          <w:tcPr>
            <w:tcW w:type="dxa" w:w="3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8"/>
                <w:szCs w:val="18"/>
              </w:rPr>
              <w:t xml:space="preserve">PO issued to supplier; triggers supplier ledger</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7</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Installation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NISU Field Team</w:t>
            </w:r>
          </w:p>
        </w:tc>
        <w:tc>
          <w:tcPr>
            <w:tcW w:type="dxa" w:w="3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8"/>
                <w:szCs w:val="18"/>
              </w:rPr>
              <w:t xml:space="preserve">Active equipment delivered by contractor</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8</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PAT (Pre-Acceptance Test)</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PAT Team + Contractor</w:t>
            </w:r>
          </w:p>
        </w:tc>
        <w:tc>
          <w:tcPr>
            <w:tcW w:type="dxa" w:w="3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8"/>
                <w:szCs w:val="18"/>
              </w:rPr>
              <w:t xml:space="preserve">Gate: document submission trigger</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9</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Document Submission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NISU Admin</w:t>
            </w:r>
          </w:p>
        </w:tc>
        <w:tc>
          <w:tcPr>
            <w:tcW w:type="dxa" w:w="3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8"/>
                <w:szCs w:val="18"/>
              </w:rPr>
              <w:t xml:space="preserve">Required before approval</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10</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Document Approval</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Contractor</w:t>
            </w:r>
          </w:p>
        </w:tc>
        <w:tc>
          <w:tcPr>
            <w:tcW w:type="dxa" w:w="3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8"/>
                <w:szCs w:val="18"/>
              </w:rPr>
              <w:t xml:space="preserve">Invoice eligibility unlocked</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11</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Invoice Submission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Finance</w:t>
            </w:r>
          </w:p>
        </w:tc>
        <w:tc>
          <w:tcPr>
            <w:tcW w:type="dxa" w:w="3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8"/>
                <w:szCs w:val="18"/>
              </w:rPr>
              <w:t xml:space="preserve">Revenue recognition event</w:t>
            </w:r>
          </w:p>
        </w:tc>
      </w:tr>
    </w:tbl>
    <w:p>
      <w:pPr>
        <w:pStyle w:val="Heading3"/>
        <w:spacing w:after="80" w:before="240"/>
      </w:pPr>
      <w:r>
        <w:rPr>
          <w:rFonts w:ascii="Inter" w:cs="Inter" w:eastAsia="Inter" w:hAnsi="Inter"/>
          <w:b/>
          <w:bCs/>
          <w:color w:val="1A2E3D"/>
          <w:sz w:val="22"/>
          <w:szCs w:val="22"/>
        </w:rPr>
        <w:t xml:space="preserve">NISU Material Split</w:t>
      </w:r>
    </w:p>
    <w:p>
      <w:pPr>
        <w:spacing w:after="80" w:before="60"/>
      </w:pPr>
      <w:r>
        <w:rPr>
          <w:rFonts w:ascii="Inter" w:cs="Inter" w:eastAsia="Inter" w:hAnsi="Inter"/>
          <w:color w:val="1A2E3D"/>
          <w:sz w:val="20"/>
          <w:szCs w:val="20"/>
        </w:rPr>
        <w:t xml:space="preserve">Materials on NISU projects fall into two categories:</w:t>
      </w:r>
    </w:p>
    <w:p>
      <w:pPr>
        <w:pStyle w:val="ListParagraph"/>
        <w:numPr>
          <w:ilvl w:val="0"/>
          <w:numId w:val="1"/>
        </w:numPr>
        <w:spacing w:after="40" w:before="40"/>
      </w:pPr>
      <w:r>
        <w:rPr>
          <w:rFonts w:ascii="Inter" w:cs="Inter" w:eastAsia="Inter" w:hAnsi="Inter"/>
          <w:color w:val="1A2E3D"/>
          <w:sz w:val="20"/>
          <w:szCs w:val="20"/>
        </w:rPr>
        <w:t xml:space="preserve">Active Components (provided by Contractor): Routers, cards, SFPs, optics — cost is borne by the contractor; Ratal does not procure these.</w:t>
      </w:r>
    </w:p>
    <w:p>
      <w:pPr>
        <w:pStyle w:val="ListParagraph"/>
        <w:numPr>
          <w:ilvl w:val="0"/>
          <w:numId w:val="1"/>
        </w:numPr>
        <w:spacing w:after="40" w:before="40"/>
      </w:pPr>
      <w:r>
        <w:rPr>
          <w:rFonts w:ascii="Inter" w:cs="Inter" w:eastAsia="Inter" w:hAnsi="Inter"/>
          <w:color w:val="1A2E3D"/>
          <w:sz w:val="20"/>
          <w:szCs w:val="20"/>
        </w:rPr>
        <w:t xml:space="preserve">Passive Components (procured by Ratal): Cabinets, fiber cables, UTP cables, ODF panels, circuit breakers, cable ladders, PVC trunks, power cables — purchased from suppliers on credit, forming a cost that must be budgeted per site.</w:t>
      </w:r>
    </w:p>
    <w:p>
      <w:pPr>
        <w:pBdr>
          <w:left w:val="thick" w:color="FF385C" w:sz="12" w:space="8"/>
        </w:pBdr>
        <w:spacing w:after="80" w:before="80"/>
        <w:ind w:left="400"/>
      </w:pPr>
      <w:r>
        <w:rPr>
          <w:rFonts w:ascii="Inter" w:cs="Inter" w:eastAsia="Inter" w:hAnsi="Inter"/>
          <w:i/>
          <w:iCs/>
          <w:color w:val="E65100"/>
          <w:sz w:val="18"/>
          <w:szCs w:val="18"/>
        </w:rPr>
        <w:t xml:space="preserve">Budget Reality: The Contractor's PO value must cover Ratal's passive material cost + manpower + sub-contractor cost + margin. Passive material procurement must be quantity-planned site by site, not project-wide, to avoid over-commitment.</w:t>
      </w:r>
    </w:p>
    <w:p>
      <w:pPr>
        <w:spacing w:after="80" w:before="80"/>
      </w:pPr>
      <w:r>
        <w:t xml:space="preserve"/>
      </w:r>
    </w:p>
    <w:p>
      <w:pPr>
        <w:pStyle w:val="Heading2"/>
        <w:spacing w:after="120" w:before="320"/>
      </w:pPr>
      <w:r>
        <w:rPr>
          <w:rFonts w:ascii="Inter" w:cs="Inter" w:eastAsia="Inter" w:hAnsi="Inter"/>
          <w:b/>
          <w:bCs/>
          <w:color w:val="2E7D32"/>
          <w:sz w:val="26"/>
          <w:szCs w:val="26"/>
        </w:rPr>
        <w:t xml:space="preserve">3.2  TISU — Tower Infrastructure Services Unit</w:t>
      </w:r>
    </w:p>
    <w:p>
      <w:pPr>
        <w:pStyle w:val="Heading3"/>
        <w:spacing w:after="80" w:before="240"/>
      </w:pPr>
      <w:r>
        <w:rPr>
          <w:rFonts w:ascii="Inter" w:cs="Inter" w:eastAsia="Inter" w:hAnsi="Inter"/>
          <w:b/>
          <w:bCs/>
          <w:color w:val="1A2E3D"/>
          <w:sz w:val="22"/>
          <w:szCs w:val="22"/>
        </w:rPr>
        <w:t xml:space="preserve">Scope</w:t>
      </w:r>
    </w:p>
    <w:p>
      <w:pPr>
        <w:spacing w:after="80" w:before="60"/>
      </w:pPr>
      <w:r>
        <w:rPr>
          <w:rFonts w:ascii="Inter" w:cs="Inter" w:eastAsia="Inter" w:hAnsi="Inter"/>
          <w:color w:val="1A2E3D"/>
          <w:sz w:val="20"/>
          <w:szCs w:val="20"/>
        </w:rPr>
        <w:t xml:space="preserve">TISU delivers tower civil works and erection. Clients are STC, TAWAL, Mobily, and Zain via contractors Nokia, Huawei, and ZTE. Each tower is a distinct project unit — the Contractor typically issues one PO per tower, making each tower a self-contained profit centre.</w:t>
      </w:r>
    </w:p>
    <w:p>
      <w:pPr>
        <w:pStyle w:val="Heading3"/>
        <w:spacing w:after="80" w:before="240"/>
      </w:pPr>
      <w:r>
        <w:rPr>
          <w:rFonts w:ascii="Inter" w:cs="Inter" w:eastAsia="Inter" w:hAnsi="Inter"/>
          <w:b/>
          <w:bCs/>
          <w:color w:val="1A2E3D"/>
          <w:sz w:val="22"/>
          <w:szCs w:val="22"/>
        </w:rPr>
        <w:t xml:space="preserve">Tower Classification Matrix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00"/>
      </w:tblGrid>
      <w:tr>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Tower Type</w:t>
            </w:r>
          </w:p>
        </w:tc>
        <w:tc>
          <w:tcPr>
            <w:tcW w:type="dxa" w:w="1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Heights (m)</w:t>
            </w:r>
          </w:p>
        </w:tc>
        <w:tc>
          <w:tcPr>
            <w:tcW w:type="dxa" w:w="1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Frequency</w:t>
            </w:r>
          </w:p>
        </w:tc>
        <w:tc>
          <w:tcPr>
            <w:tcW w:type="dxa" w:w="1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Excavation Area</w:t>
            </w:r>
          </w:p>
        </w:tc>
        <w:tc>
          <w:tcPr>
            <w:tcW w:type="dxa" w:w="1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Foundation Cost Range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4-Leg Lattice</w:t>
            </w:r>
          </w:p>
        </w:tc>
        <w:tc>
          <w:tcPr>
            <w:tcW w:type="dxa" w:w="1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45 / 60 / 75 / 90</w:t>
            </w:r>
          </w:p>
        </w:tc>
        <w:tc>
          <w:tcPr>
            <w:tcW w:type="dxa" w:w="1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Most common</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Wider base</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Medium–High</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Monopole</w:t>
            </w:r>
          </w:p>
        </w:tc>
        <w:tc>
          <w:tcPr>
            <w:tcW w:type="dxa" w:w="1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30 / 45 / 60</w:t>
            </w:r>
          </w:p>
        </w:tc>
        <w:tc>
          <w:tcPr>
            <w:tcW w:type="dxa" w:w="1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Urban / constrained</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Narrow / deep</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Medium</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3-Leg (Trilег)</w:t>
            </w:r>
          </w:p>
        </w:tc>
        <w:tc>
          <w:tcPr>
            <w:tcW w:type="dxa" w:w="1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45 / 60</w:t>
            </w:r>
          </w:p>
        </w:tc>
        <w:tc>
          <w:tcPr>
            <w:tcW w:type="dxa" w:w="1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Rare</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Triangular base</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Medium</w:t>
            </w:r>
          </w:p>
        </w:tc>
      </w:tr>
    </w:tbl>
    <w:p>
      <w:pPr>
        <w:spacing w:after="80" w:before="80"/>
      </w:pPr>
      <w:r>
        <w:t xml:space="preserve"/>
      </w:r>
    </w:p>
    <w:p>
      <w:pPr>
        <w:pStyle w:val="Heading3"/>
        <w:spacing w:after="80" w:before="240"/>
      </w:pPr>
      <w:r>
        <w:rPr>
          <w:rFonts w:ascii="Inter" w:cs="Inter" w:eastAsia="Inter" w:hAnsi="Inter"/>
          <w:b/>
          <w:bCs/>
          <w:color w:val="1A2E3D"/>
          <w:sz w:val="22"/>
          <w:szCs w:val="22"/>
        </w:rPr>
        <w:t xml:space="preserve">TISU Delivery Milestones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600"/>
        <w:gridCol w:w="3500"/>
      </w:tblGrid>
      <w:tr>
        <w:tc>
          <w:tcPr>
            <w:tcW w:type="dxa" w:w="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t>
            </w:r>
          </w:p>
        </w:tc>
        <w:tc>
          <w:tcPr>
            <w:tcW w:type="dxa" w:w="2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Milestone</w:t>
            </w:r>
          </w:p>
        </w:tc>
        <w:tc>
          <w:tcPr>
            <w:tcW w:type="dxa" w:w="2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Primary Executor</w:t>
            </w:r>
          </w:p>
        </w:tc>
        <w:tc>
          <w:tcPr>
            <w:tcW w:type="dxa" w:w="3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Notes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w:t>
            </w:r>
          </w:p>
        </w:tc>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Survey</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TISU Survey Team</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Soil assessment, access route, anchor point study</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2</w:t>
            </w:r>
          </w:p>
        </w:tc>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Design Review</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Structural Engineer</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Client / Authority approval required</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3</w:t>
            </w:r>
          </w:p>
        </w:tc>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Excavation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Sub-Contractor Pool (5–8)</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Cost varies by tower type, height, region</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4</w:t>
            </w:r>
          </w:p>
        </w:tc>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Lean Concrete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Sub-Contractor / Own Team</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Levelling layer before foundation pour</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5</w:t>
            </w:r>
          </w:p>
        </w:tc>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Compaction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Sub-Contractor Pool (5–8)</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Soil compaction certification required</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6</w:t>
            </w:r>
          </w:p>
        </w:tc>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Back Filling</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Sub-Contractor / Own Team</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After foundation curing</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7</w:t>
            </w:r>
          </w:p>
        </w:tc>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Testing &amp; Certification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Sub-Contractor (4–6)</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Soil compaction test, torque testing</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8</w:t>
            </w:r>
          </w:p>
        </w:tc>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Foundation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Sub-Contractor Pool (4–6)</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Rebar + concrete pour; cure time 28 days min</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9</w:t>
            </w:r>
          </w:p>
        </w:tc>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Tower Transportation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Transport Sub-Con</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Heavy vehicle coordination per tower dimension</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10</w:t>
            </w:r>
          </w:p>
        </w:tc>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Tower Erection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Sub-Contractor Pool (5–10)</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Crane required; HSE plan mandatory</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11</w:t>
            </w:r>
          </w:p>
        </w:tc>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RFI (Request for Inspection)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Quality Team</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Formal inspection request to client/contractor</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12</w:t>
            </w:r>
          </w:p>
        </w:tc>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Power Cabling</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TISU Electrical Team</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Generator / grid connection</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13</w:t>
            </w:r>
          </w:p>
        </w:tc>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Fencing</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Sub-Contractor Pool</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Security perimeter around tower base</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14</w:t>
            </w:r>
          </w:p>
        </w:tc>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PAT</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PAT Team + Contractor</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Pre-Acceptance Test; gate for handover docs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15</w:t>
            </w:r>
          </w:p>
        </w:tc>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Handover</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Project Manager</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Revenue recognition; invoice trigger</w:t>
            </w:r>
          </w:p>
        </w:tc>
      </w:tr>
    </w:tbl>
    <w:p>
      <w:pPr>
        <w:spacing w:after="80" w:before="80"/>
      </w:pPr>
      <w:r>
        <w:t xml:space="preserve"/>
      </w:r>
    </w:p>
    <w:p>
      <w:pPr>
        <w:pStyle w:val="Heading3"/>
        <w:spacing w:after="80" w:before="240"/>
      </w:pPr>
      <w:r>
        <w:rPr>
          <w:rFonts w:ascii="Inter" w:cs="Inter" w:eastAsia="Inter" w:hAnsi="Inter"/>
          <w:b/>
          <w:bCs/>
          <w:color w:val="1A2E3D"/>
          <w:sz w:val="22"/>
          <w:szCs w:val="22"/>
        </w:rPr>
        <w:t xml:space="preserve">TISU Sub-Contractor Management</w:t>
      </w:r>
    </w:p>
    <w:p>
      <w:pPr>
        <w:spacing w:after="80" w:before="60"/>
      </w:pPr>
      <w:r>
        <w:rPr>
          <w:rFonts w:ascii="Inter" w:cs="Inter" w:eastAsia="Inter" w:hAnsi="Inter"/>
          <w:color w:val="1A2E3D"/>
          <w:sz w:val="20"/>
          <w:szCs w:val="20"/>
        </w:rPr>
        <w:t xml:space="preserve">TISU relies on a pool of 5–10 sub-contractors per activity category. Selection is dynamic — driven by site readiness, regional proximity, and monthly workload. This creates a complex PO matrix that must be tracked per site per activity: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800"/>
        <w:gridCol w:w="3000"/>
      </w:tblGrid>
      <w:tr>
        <w:tc>
          <w:tcPr>
            <w:tcW w:type="dxa" w:w="2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Activity</w:t>
            </w:r>
          </w:p>
        </w:tc>
        <w:tc>
          <w:tcPr>
            <w:tcW w:type="dxa" w:w="1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Sub-Con Pool Size</w:t>
            </w:r>
          </w:p>
        </w:tc>
        <w:tc>
          <w:tcPr>
            <w:tcW w:type="dxa" w:w="1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Rate Variability</w:t>
            </w:r>
          </w:p>
        </w:tc>
        <w:tc>
          <w:tcPr>
            <w:tcW w:type="dxa" w:w="3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Key Variable</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Excavation</w:t>
            </w:r>
          </w:p>
        </w:tc>
        <w:tc>
          <w:tcPr>
            <w:tcW w:type="dxa" w:w="17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5–8</w:t>
            </w:r>
          </w:p>
        </w:tc>
        <w:tc>
          <w:tcPr>
            <w:tcW w:type="dxa" w:w="18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High</w:t>
            </w:r>
          </w:p>
        </w:tc>
        <w:tc>
          <w:tcPr>
            <w:tcW w:type="dxa" w:w="30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Tower type + height + region (e.g., 45m TAWAL SAR 20k, 65m SAR 25k)</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Compaction</w:t>
            </w:r>
          </w:p>
        </w:tc>
        <w:tc>
          <w:tcPr>
            <w:tcW w:type="dxa" w:w="17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5–8</w:t>
            </w:r>
          </w:p>
        </w:tc>
        <w:tc>
          <w:tcPr>
            <w:tcW w:type="dxa" w:w="1800"/>
            <w:gridSpan w:val="1"/>
            <w:tcMar>
              <w:top w:type="dxa" w:w="60"/>
              <w:left w:type="dxa" w:w="80"/>
              <w:bottom w:type="dxa" w:w="60"/>
              <w:right w:type="dxa" w:w="80"/>
            </w:tcMar>
            <w:vAlign w:val="center"/>
          </w:tcPr>
          <w:p>
            <w:pPr>
              <w:jc w:val="center"/>
            </w:pPr>
            <w:r>
              <w:rPr>
                <w:rFonts w:ascii="Inter" w:cs="Inter" w:eastAsia="Inter" w:hAnsi="Inter"/>
                <w:b/>
                <w:bCs/>
                <w:color w:val="E65100"/>
                <w:sz w:val="18"/>
                <w:szCs w:val="18"/>
              </w:rPr>
              <w:t xml:space="preserve">Medium</w:t>
            </w:r>
          </w:p>
        </w:tc>
        <w:tc>
          <w:tcPr>
            <w:tcW w:type="dxa" w:w="30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Soil type + compaction depth</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Foundation + Lean Concrete</w:t>
            </w:r>
          </w:p>
        </w:tc>
        <w:tc>
          <w:tcPr>
            <w:tcW w:type="dxa" w:w="17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4–6</w:t>
            </w:r>
          </w:p>
        </w:tc>
        <w:tc>
          <w:tcPr>
            <w:tcW w:type="dxa" w:w="1800"/>
            <w:gridSpan w:val="1"/>
            <w:tcMar>
              <w:top w:type="dxa" w:w="60"/>
              <w:left w:type="dxa" w:w="80"/>
              <w:bottom w:type="dxa" w:w="60"/>
              <w:right w:type="dxa" w:w="80"/>
            </w:tcMar>
            <w:vAlign w:val="center"/>
          </w:tcPr>
          <w:p>
            <w:pPr>
              <w:jc w:val="center"/>
            </w:pPr>
            <w:r>
              <w:rPr>
                <w:rFonts w:ascii="Inter" w:cs="Inter" w:eastAsia="Inter" w:hAnsi="Inter"/>
                <w:b/>
                <w:bCs/>
                <w:color w:val="E65100"/>
                <w:sz w:val="18"/>
                <w:szCs w:val="18"/>
              </w:rPr>
              <w:t xml:space="preserve">Medium</w:t>
            </w:r>
          </w:p>
        </w:tc>
        <w:tc>
          <w:tcPr>
            <w:tcW w:type="dxa" w:w="30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Tower leg count + footing depth</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Tower Erection</w:t>
            </w:r>
          </w:p>
        </w:tc>
        <w:tc>
          <w:tcPr>
            <w:tcW w:type="dxa" w:w="17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5–10</w:t>
            </w:r>
          </w:p>
        </w:tc>
        <w:tc>
          <w:tcPr>
            <w:tcW w:type="dxa" w:w="18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High</w:t>
            </w:r>
          </w:p>
        </w:tc>
        <w:tc>
          <w:tcPr>
            <w:tcW w:type="dxa" w:w="30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Tower height + crane type required</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Fencing</w:t>
            </w:r>
          </w:p>
        </w:tc>
        <w:tc>
          <w:tcPr>
            <w:tcW w:type="dxa" w:w="17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4–6</w:t>
            </w:r>
          </w:p>
        </w:tc>
        <w:tc>
          <w:tcPr>
            <w:tcW w:type="dxa" w:w="1800"/>
            <w:gridSpan w:val="1"/>
            <w:tcMar>
              <w:top w:type="dxa" w:w="60"/>
              <w:left w:type="dxa" w:w="80"/>
              <w:bottom w:type="dxa" w:w="60"/>
              <w:right w:type="dxa" w:w="80"/>
            </w:tcMar>
            <w:vAlign w:val="center"/>
          </w:tcPr>
          <w:p>
            <w:pPr>
              <w:jc w:val="center"/>
            </w:pPr>
            <w:r>
              <w:rPr>
                <w:rFonts w:ascii="Inter" w:cs="Inter" w:eastAsia="Inter" w:hAnsi="Inter"/>
                <w:b/>
                <w:bCs/>
                <w:color w:val="2E7D32"/>
                <w:sz w:val="18"/>
                <w:szCs w:val="18"/>
              </w:rPr>
              <w:t xml:space="preserve">Low</w:t>
            </w:r>
          </w:p>
        </w:tc>
        <w:tc>
          <w:tcPr>
            <w:tcW w:type="dxa" w:w="30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Perimeter meters + material spec</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Certification &amp; Testing</w:t>
            </w:r>
          </w:p>
        </w:tc>
        <w:tc>
          <w:tcPr>
            <w:tcW w:type="dxa" w:w="17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4–6</w:t>
            </w:r>
          </w:p>
        </w:tc>
        <w:tc>
          <w:tcPr>
            <w:tcW w:type="dxa" w:w="1800"/>
            <w:gridSpan w:val="1"/>
            <w:tcMar>
              <w:top w:type="dxa" w:w="60"/>
              <w:left w:type="dxa" w:w="80"/>
              <w:bottom w:type="dxa" w:w="60"/>
              <w:right w:type="dxa" w:w="80"/>
            </w:tcMar>
            <w:vAlign w:val="center"/>
          </w:tcPr>
          <w:p>
            <w:pPr>
              <w:jc w:val="center"/>
            </w:pPr>
            <w:r>
              <w:rPr>
                <w:rFonts w:ascii="Inter" w:cs="Inter" w:eastAsia="Inter" w:hAnsi="Inter"/>
                <w:b/>
                <w:bCs/>
                <w:color w:val="2E7D32"/>
                <w:sz w:val="18"/>
                <w:szCs w:val="18"/>
              </w:rPr>
              <w:t xml:space="preserve">Low</w:t>
            </w:r>
          </w:p>
        </w:tc>
        <w:tc>
          <w:tcPr>
            <w:tcW w:type="dxa" w:w="30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Test type (torque, compaction, load)</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Transportation</w:t>
            </w:r>
          </w:p>
        </w:tc>
        <w:tc>
          <w:tcPr>
            <w:tcW w:type="dxa" w:w="17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3–5</w:t>
            </w:r>
          </w:p>
        </w:tc>
        <w:tc>
          <w:tcPr>
            <w:tcW w:type="dxa" w:w="18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High</w:t>
            </w:r>
          </w:p>
        </w:tc>
        <w:tc>
          <w:tcPr>
            <w:tcW w:type="dxa" w:w="30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Distance + tower dimensions + permits</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Manual Concrete Mixing</w:t>
            </w:r>
          </w:p>
        </w:tc>
        <w:tc>
          <w:tcPr>
            <w:tcW w:type="dxa" w:w="17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3–5</w:t>
            </w:r>
          </w:p>
        </w:tc>
        <w:tc>
          <w:tcPr>
            <w:tcW w:type="dxa" w:w="1800"/>
            <w:gridSpan w:val="1"/>
            <w:tcMar>
              <w:top w:type="dxa" w:w="60"/>
              <w:left w:type="dxa" w:w="80"/>
              <w:bottom w:type="dxa" w:w="60"/>
              <w:right w:type="dxa" w:w="80"/>
            </w:tcMar>
            <w:vAlign w:val="center"/>
          </w:tcPr>
          <w:p>
            <w:pPr>
              <w:jc w:val="center"/>
            </w:pPr>
            <w:r>
              <w:rPr>
                <w:rFonts w:ascii="Inter" w:cs="Inter" w:eastAsia="Inter" w:hAnsi="Inter"/>
                <w:b/>
                <w:bCs/>
                <w:color w:val="2E7D32"/>
                <w:sz w:val="18"/>
                <w:szCs w:val="18"/>
              </w:rPr>
              <w:t xml:space="preserve">Low</w:t>
            </w:r>
          </w:p>
        </w:tc>
        <w:tc>
          <w:tcPr>
            <w:tcW w:type="dxa" w:w="30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Sites without ready-mix access</w:t>
            </w:r>
          </w:p>
        </w:tc>
      </w:tr>
    </w:tbl>
    <w:p>
      <w:pPr>
        <w:pBdr>
          <w:left w:val="thick" w:color="FF385C" w:sz="12" w:space="8"/>
        </w:pBdr>
        <w:spacing w:after="80" w:before="80"/>
        <w:ind w:left="400"/>
      </w:pPr>
      <w:r>
        <w:rPr>
          <w:rFonts w:ascii="Inter" w:cs="Inter" w:eastAsia="Inter" w:hAnsi="Inter"/>
          <w:i/>
          <w:iCs/>
          <w:color w:val="E65100"/>
          <w:sz w:val="18"/>
          <w:szCs w:val="18"/>
        </w:rPr>
        <w:t xml:space="preserve">Each sub-contractor engagement generates a PO. The sub-contractor's ledger must update immediately on PO issue and again on each payment, with overdue alerts based on agreed payment terms.</w:t>
      </w:r>
    </w:p>
    <w:p>
      <w:pPr>
        <w:spacing w:after="80" w:before="80"/>
      </w:pPr>
      <w:r>
        <w:t xml:space="preserve"/>
      </w:r>
    </w:p>
    <w:p>
      <w:r>
        <w:br w:type="page"/>
      </w:r>
    </w:p>
    <w:p>
      <w:pPr>
        <w:pStyle w:val="Heading2"/>
        <w:spacing w:after="120" w:before="320"/>
      </w:pPr>
      <w:r>
        <w:rPr>
          <w:rFonts w:ascii="Inter" w:cs="Inter" w:eastAsia="Inter" w:hAnsi="Inter"/>
          <w:b/>
          <w:bCs/>
          <w:color w:val="6A1B9A"/>
          <w:sz w:val="26"/>
          <w:szCs w:val="26"/>
        </w:rPr>
        <w:t xml:space="preserve">3.3  CISU — Civil Infrastructure Services Unit</w:t>
      </w:r>
    </w:p>
    <w:p>
      <w:pPr>
        <w:pStyle w:val="Heading3"/>
        <w:spacing w:after="80" w:before="240"/>
      </w:pPr>
      <w:r>
        <w:rPr>
          <w:rFonts w:ascii="Inter" w:cs="Inter" w:eastAsia="Inter" w:hAnsi="Inter"/>
          <w:b/>
          <w:bCs/>
          <w:color w:val="1A2E3D"/>
          <w:sz w:val="22"/>
          <w:szCs w:val="22"/>
        </w:rPr>
        <w:t xml:space="preserve">Scope</w:t>
      </w:r>
    </w:p>
    <w:p>
      <w:pPr>
        <w:spacing w:after="80" w:before="60"/>
      </w:pPr>
      <w:r>
        <w:rPr>
          <w:rFonts w:ascii="Inter" w:cs="Inter" w:eastAsia="Inter" w:hAnsi="Inter"/>
          <w:color w:val="1A2E3D"/>
          <w:sz w:val="20"/>
          <w:szCs w:val="20"/>
        </w:rPr>
        <w:t xml:space="preserve">CISU handles structured civil and infrastructure works that differ from tower civil (TISU). The two primary segments are:</w:t>
      </w:r>
    </w:p>
    <w:p>
      <w:pPr>
        <w:pStyle w:val="ListParagraph"/>
        <w:numPr>
          <w:ilvl w:val="0"/>
          <w:numId w:val="1"/>
        </w:numPr>
        <w:spacing w:after="40" w:before="40"/>
      </w:pPr>
      <w:r>
        <w:rPr>
          <w:rFonts w:ascii="Inter" w:cs="Inter" w:eastAsia="Inter" w:hAnsi="Inter"/>
          <w:color w:val="1A2E3D"/>
          <w:sz w:val="20"/>
          <w:szCs w:val="20"/>
        </w:rPr>
        <w:t xml:space="preserve">Data Centre Preparation: Floor raised access systems, structured cabling infrastructure, power distribution units (PDUs), cooling infrastructure (CRAC/CRAH), cable management, fire suppression prep, and physical security installation.</w:t>
      </w:r>
    </w:p>
    <w:p>
      <w:pPr>
        <w:pStyle w:val="ListParagraph"/>
        <w:numPr>
          <w:ilvl w:val="0"/>
          <w:numId w:val="1"/>
        </w:numPr>
        <w:spacing w:after="40" w:before="40"/>
      </w:pPr>
      <w:r>
        <w:rPr>
          <w:rFonts w:ascii="Inter" w:cs="Inter" w:eastAsia="Inter" w:hAnsi="Inter"/>
          <w:color w:val="1A2E3D"/>
          <w:sz w:val="20"/>
          <w:szCs w:val="20"/>
        </w:rPr>
        <w:t xml:space="preserve">Microwave Link Projects: Civil works for MW towers/masts, antenna mounting, waveguide installation, and backhaul link commissioning. Note: Microwave Links is a shared segment between TISU (tower/mast erection) and CISU (antenna/RF/commissioning).</w:t>
      </w:r>
    </w:p>
    <w:p>
      <w:pPr>
        <w:pStyle w:val="Heading3"/>
        <w:spacing w:after="80" w:before="240"/>
      </w:pPr>
      <w:r>
        <w:rPr>
          <w:rFonts w:ascii="Inter" w:cs="Inter" w:eastAsia="Inter" w:hAnsi="Inter"/>
          <w:b/>
          <w:bCs/>
          <w:color w:val="1A2E3D"/>
          <w:sz w:val="22"/>
          <w:szCs w:val="22"/>
        </w:rPr>
        <w:t xml:space="preserve">CISU Milestone Flow (Data Centre)</w:t>
      </w:r>
    </w:p>
    <w:p>
      <w:pPr>
        <w:pStyle w:val="ListParagraph"/>
        <w:numPr>
          <w:ilvl w:val="0"/>
          <w:numId w:val="1"/>
        </w:numPr>
        <w:spacing w:after="40" w:before="40"/>
      </w:pPr>
      <w:r>
        <w:rPr>
          <w:rFonts w:ascii="Inter" w:cs="Inter" w:eastAsia="Inter" w:hAnsi="Inter"/>
          <w:color w:val="1A2E3D"/>
          <w:sz w:val="20"/>
          <w:szCs w:val="20"/>
        </w:rPr>
        <w:t xml:space="preserve">1. Site Assessment &amp; Audit (existing power, cooling, space)</w:t>
      </w:r>
    </w:p>
    <w:p>
      <w:pPr>
        <w:pStyle w:val="ListParagraph"/>
        <w:numPr>
          <w:ilvl w:val="0"/>
          <w:numId w:val="1"/>
        </w:numPr>
        <w:spacing w:after="40" w:before="40"/>
      </w:pPr>
      <w:r>
        <w:rPr>
          <w:rFonts w:ascii="Inter" w:cs="Inter" w:eastAsia="Inter" w:hAnsi="Inter"/>
          <w:color w:val="1A2E3D"/>
          <w:sz w:val="20"/>
          <w:szCs w:val="20"/>
        </w:rPr>
        <w:t xml:space="preserve">2. Design Approval (floor plan, rack layout, power zoning)</w:t>
      </w:r>
    </w:p>
    <w:p>
      <w:pPr>
        <w:pStyle w:val="ListParagraph"/>
        <w:numPr>
          <w:ilvl w:val="0"/>
          <w:numId w:val="1"/>
        </w:numPr>
        <w:spacing w:after="40" w:before="40"/>
      </w:pPr>
      <w:r>
        <w:rPr>
          <w:rFonts w:ascii="Inter" w:cs="Inter" w:eastAsia="Inter" w:hAnsi="Inter"/>
          <w:color w:val="1A2E3D"/>
          <w:sz w:val="20"/>
          <w:szCs w:val="20"/>
        </w:rPr>
        <w:t xml:space="preserve">3. Civil Works (raised floor, trunking, containment)</w:t>
      </w:r>
    </w:p>
    <w:p>
      <w:pPr>
        <w:pStyle w:val="ListParagraph"/>
        <w:numPr>
          <w:ilvl w:val="0"/>
          <w:numId w:val="1"/>
        </w:numPr>
        <w:spacing w:after="40" w:before="40"/>
      </w:pPr>
      <w:r>
        <w:rPr>
          <w:rFonts w:ascii="Inter" w:cs="Inter" w:eastAsia="Inter" w:hAnsi="Inter"/>
          <w:color w:val="1A2E3D"/>
          <w:sz w:val="20"/>
          <w:szCs w:val="20"/>
        </w:rPr>
        <w:t xml:space="preserve">4. Power Installation (PDU, UPS, distribution boards)</w:t>
      </w:r>
    </w:p>
    <w:p>
      <w:pPr>
        <w:pStyle w:val="ListParagraph"/>
        <w:numPr>
          <w:ilvl w:val="0"/>
          <w:numId w:val="1"/>
        </w:numPr>
        <w:spacing w:after="40" w:before="40"/>
      </w:pPr>
      <w:r>
        <w:rPr>
          <w:rFonts w:ascii="Inter" w:cs="Inter" w:eastAsia="Inter" w:hAnsi="Inter"/>
          <w:color w:val="1A2E3D"/>
          <w:sz w:val="20"/>
          <w:szCs w:val="20"/>
        </w:rPr>
        <w:t xml:space="preserve">5. Cooling Installation (CRAC units, containment aisles)</w:t>
      </w:r>
    </w:p>
    <w:p>
      <w:pPr>
        <w:pStyle w:val="ListParagraph"/>
        <w:numPr>
          <w:ilvl w:val="0"/>
          <w:numId w:val="1"/>
        </w:numPr>
        <w:spacing w:after="40" w:before="40"/>
      </w:pPr>
      <w:r>
        <w:rPr>
          <w:rFonts w:ascii="Inter" w:cs="Inter" w:eastAsia="Inter" w:hAnsi="Inter"/>
          <w:color w:val="1A2E3D"/>
          <w:sz w:val="20"/>
          <w:szCs w:val="20"/>
        </w:rPr>
        <w:t xml:space="preserve">6. Structured Cabling (MDA / HDA / EDA zones)</w:t>
      </w:r>
    </w:p>
    <w:p>
      <w:pPr>
        <w:pStyle w:val="ListParagraph"/>
        <w:numPr>
          <w:ilvl w:val="0"/>
          <w:numId w:val="1"/>
        </w:numPr>
        <w:spacing w:after="40" w:before="40"/>
      </w:pPr>
      <w:r>
        <w:rPr>
          <w:rFonts w:ascii="Inter" w:cs="Inter" w:eastAsia="Inter" w:hAnsi="Inter"/>
          <w:color w:val="1A2E3D"/>
          <w:sz w:val="20"/>
          <w:szCs w:val="20"/>
        </w:rPr>
        <w:t xml:space="preserve">7. Cable Testing &amp; Certification (TIA-568 / ISO 11801)</w:t>
      </w:r>
    </w:p>
    <w:p>
      <w:pPr>
        <w:pStyle w:val="ListParagraph"/>
        <w:numPr>
          <w:ilvl w:val="0"/>
          <w:numId w:val="1"/>
        </w:numPr>
        <w:spacing w:after="40" w:before="40"/>
      </w:pPr>
      <w:r>
        <w:rPr>
          <w:rFonts w:ascii="Inter" w:cs="Inter" w:eastAsia="Inter" w:hAnsi="Inter"/>
          <w:color w:val="1A2E3D"/>
          <w:sz w:val="20"/>
          <w:szCs w:val="20"/>
        </w:rPr>
        <w:t xml:space="preserve">8. Equipment Rack Installation (passive racks, patch panels, blanks)</w:t>
      </w:r>
    </w:p>
    <w:p>
      <w:pPr>
        <w:pStyle w:val="ListParagraph"/>
        <w:numPr>
          <w:ilvl w:val="0"/>
          <w:numId w:val="1"/>
        </w:numPr>
        <w:spacing w:after="40" w:before="40"/>
      </w:pPr>
      <w:r>
        <w:rPr>
          <w:rFonts w:ascii="Inter" w:cs="Inter" w:eastAsia="Inter" w:hAnsi="Inter"/>
          <w:color w:val="1A2E3D"/>
          <w:sz w:val="20"/>
          <w:szCs w:val="20"/>
        </w:rPr>
        <w:t xml:space="preserve">9. PAT &amp; Acceptance</w:t>
      </w:r>
    </w:p>
    <w:p>
      <w:pPr>
        <w:pStyle w:val="ListParagraph"/>
        <w:numPr>
          <w:ilvl w:val="0"/>
          <w:numId w:val="1"/>
        </w:numPr>
        <w:spacing w:after="40" w:before="40"/>
      </w:pPr>
      <w:r>
        <w:rPr>
          <w:rFonts w:ascii="Inter" w:cs="Inter" w:eastAsia="Inter" w:hAnsi="Inter"/>
          <w:color w:val="1A2E3D"/>
          <w:sz w:val="20"/>
          <w:szCs w:val="20"/>
        </w:rPr>
        <w:t xml:space="preserve">10. Handover &amp; As-Built Documentation</w:t>
      </w:r>
    </w:p>
    <w:p>
      <w:pPr>
        <w:pStyle w:val="Heading3"/>
        <w:spacing w:after="80" w:before="240"/>
      </w:pPr>
      <w:r>
        <w:rPr>
          <w:rFonts w:ascii="Inter" w:cs="Inter" w:eastAsia="Inter" w:hAnsi="Inter"/>
          <w:b/>
          <w:bCs/>
          <w:color w:val="1A2E3D"/>
          <w:sz w:val="22"/>
          <w:szCs w:val="22"/>
        </w:rPr>
        <w:t xml:space="preserve">CISU Milestone Flow (Microwave Links)</w:t>
      </w:r>
    </w:p>
    <w:p>
      <w:pPr>
        <w:pStyle w:val="ListParagraph"/>
        <w:numPr>
          <w:ilvl w:val="0"/>
          <w:numId w:val="1"/>
        </w:numPr>
        <w:spacing w:after="40" w:before="40"/>
      </w:pPr>
      <w:r>
        <w:rPr>
          <w:rFonts w:ascii="Inter" w:cs="Inter" w:eastAsia="Inter" w:hAnsi="Inter"/>
          <w:color w:val="1A2E3D"/>
          <w:sz w:val="20"/>
          <w:szCs w:val="20"/>
        </w:rPr>
        <w:t xml:space="preserve">1. RF Survey &amp; Path Analysis</w:t>
      </w:r>
    </w:p>
    <w:p>
      <w:pPr>
        <w:pStyle w:val="ListParagraph"/>
        <w:numPr>
          <w:ilvl w:val="0"/>
          <w:numId w:val="1"/>
        </w:numPr>
        <w:spacing w:after="40" w:before="40"/>
      </w:pPr>
      <w:r>
        <w:rPr>
          <w:rFonts w:ascii="Inter" w:cs="Inter" w:eastAsia="Inter" w:hAnsi="Inter"/>
          <w:color w:val="1A2E3D"/>
          <w:sz w:val="20"/>
          <w:szCs w:val="20"/>
        </w:rPr>
        <w:t xml:space="preserve">2. Mast / Tower Civil Works (shared with TISU)</w:t>
      </w:r>
    </w:p>
    <w:p>
      <w:pPr>
        <w:pStyle w:val="ListParagraph"/>
        <w:numPr>
          <w:ilvl w:val="0"/>
          <w:numId w:val="1"/>
        </w:numPr>
        <w:spacing w:after="40" w:before="40"/>
      </w:pPr>
      <w:r>
        <w:rPr>
          <w:rFonts w:ascii="Inter" w:cs="Inter" w:eastAsia="Inter" w:hAnsi="Inter"/>
          <w:color w:val="1A2E3D"/>
          <w:sz w:val="20"/>
          <w:szCs w:val="20"/>
        </w:rPr>
        <w:t xml:space="preserve">3. Antenna Mounting &amp; Alignment</w:t>
      </w:r>
    </w:p>
    <w:p>
      <w:pPr>
        <w:pStyle w:val="ListParagraph"/>
        <w:numPr>
          <w:ilvl w:val="0"/>
          <w:numId w:val="1"/>
        </w:numPr>
        <w:spacing w:after="40" w:before="40"/>
      </w:pPr>
      <w:r>
        <w:rPr>
          <w:rFonts w:ascii="Inter" w:cs="Inter" w:eastAsia="Inter" w:hAnsi="Inter"/>
          <w:color w:val="1A2E3D"/>
          <w:sz w:val="20"/>
          <w:szCs w:val="20"/>
        </w:rPr>
        <w:t xml:space="preserve">4. Waveguide / Feeder Cable Installation</w:t>
      </w:r>
    </w:p>
    <w:p>
      <w:pPr>
        <w:pStyle w:val="ListParagraph"/>
        <w:numPr>
          <w:ilvl w:val="0"/>
          <w:numId w:val="1"/>
        </w:numPr>
        <w:spacing w:after="40" w:before="40"/>
      </w:pPr>
      <w:r>
        <w:rPr>
          <w:rFonts w:ascii="Inter" w:cs="Inter" w:eastAsia="Inter" w:hAnsi="Inter"/>
          <w:color w:val="1A2E3D"/>
          <w:sz w:val="20"/>
          <w:szCs w:val="20"/>
        </w:rPr>
        <w:t xml:space="preserve">5. Indoor Unit (IDU) Installation</w:t>
      </w:r>
    </w:p>
    <w:p>
      <w:pPr>
        <w:pStyle w:val="ListParagraph"/>
        <w:numPr>
          <w:ilvl w:val="0"/>
          <w:numId w:val="1"/>
        </w:numPr>
        <w:spacing w:after="40" w:before="40"/>
      </w:pPr>
      <w:r>
        <w:rPr>
          <w:rFonts w:ascii="Inter" w:cs="Inter" w:eastAsia="Inter" w:hAnsi="Inter"/>
          <w:color w:val="1A2E3D"/>
          <w:sz w:val="20"/>
          <w:szCs w:val="20"/>
        </w:rPr>
        <w:t xml:space="preserve">6. Microwave Commissioning &amp; Alignment</w:t>
      </w:r>
    </w:p>
    <w:p>
      <w:pPr>
        <w:pStyle w:val="ListParagraph"/>
        <w:numPr>
          <w:ilvl w:val="0"/>
          <w:numId w:val="1"/>
        </w:numPr>
        <w:spacing w:after="40" w:before="40"/>
      </w:pPr>
      <w:r>
        <w:rPr>
          <w:rFonts w:ascii="Inter" w:cs="Inter" w:eastAsia="Inter" w:hAnsi="Inter"/>
          <w:color w:val="1A2E3D"/>
          <w:sz w:val="20"/>
          <w:szCs w:val="20"/>
        </w:rPr>
        <w:t xml:space="preserve">7. Link Budget Verification (signal strength, fade margin)</w:t>
      </w:r>
    </w:p>
    <w:p>
      <w:pPr>
        <w:pStyle w:val="ListParagraph"/>
        <w:numPr>
          <w:ilvl w:val="0"/>
          <w:numId w:val="1"/>
        </w:numPr>
        <w:spacing w:after="40" w:before="40"/>
      </w:pPr>
      <w:r>
        <w:rPr>
          <w:rFonts w:ascii="Inter" w:cs="Inter" w:eastAsia="Inter" w:hAnsi="Inter"/>
          <w:color w:val="1A2E3D"/>
          <w:sz w:val="20"/>
          <w:szCs w:val="20"/>
        </w:rPr>
        <w:t xml:space="preserve">8. Acceptance Test &amp; Performance Measurement</w:t>
      </w:r>
    </w:p>
    <w:p>
      <w:pPr>
        <w:pStyle w:val="ListParagraph"/>
        <w:numPr>
          <w:ilvl w:val="0"/>
          <w:numId w:val="1"/>
        </w:numPr>
        <w:spacing w:after="40" w:before="40"/>
      </w:pPr>
      <w:r>
        <w:rPr>
          <w:rFonts w:ascii="Inter" w:cs="Inter" w:eastAsia="Inter" w:hAnsi="Inter"/>
          <w:color w:val="1A2E3D"/>
          <w:sz w:val="20"/>
          <w:szCs w:val="20"/>
        </w:rPr>
        <w:t xml:space="preserve">9. Handover</w:t>
      </w:r>
    </w:p>
    <w:p>
      <w:pPr>
        <w:pBdr>
          <w:left w:val="thick" w:color="1565C0" w:sz="12" w:space="8"/>
        </w:pBdr>
        <w:spacing w:after="80" w:before="80"/>
        <w:ind w:left="400"/>
      </w:pPr>
      <w:r>
        <w:rPr>
          <w:rFonts w:ascii="Inter" w:cs="Inter" w:eastAsia="Inter" w:hAnsi="Inter"/>
          <w:color w:val="1565C0"/>
          <w:sz w:val="18"/>
          <w:szCs w:val="18"/>
        </w:rPr>
        <w:t xml:space="preserve">Enhancement Input: CISU projects often have Authority Approval dependencies (Municipality, CITC) that create timeline uncertainty. The Site Master must track permit status as a blocking milestone — any cost committed while a permit is pending is a budget risk.</w:t>
      </w:r>
    </w:p>
    <w:p>
      <w:pPr>
        <w:spacing w:after="80" w:before="80"/>
      </w:pPr>
      <w:r>
        <w:t xml:space="preserve"/>
      </w:r>
    </w:p>
    <w:p>
      <w:pPr>
        <w:pStyle w:val="Heading2"/>
        <w:spacing w:after="120" w:before="320"/>
      </w:pPr>
      <w:r>
        <w:rPr>
          <w:rFonts w:ascii="Inter" w:cs="Inter" w:eastAsia="Inter" w:hAnsi="Inter"/>
          <w:b/>
          <w:bCs/>
          <w:color w:val="00695C"/>
          <w:sz w:val="26"/>
          <w:szCs w:val="26"/>
        </w:rPr>
        <w:t xml:space="preserve">3.4  ITSU — IT Services Unit</w:t>
      </w:r>
    </w:p>
    <w:p>
      <w:pPr>
        <w:pStyle w:val="Heading3"/>
        <w:spacing w:after="80" w:before="240"/>
      </w:pPr>
      <w:r>
        <w:rPr>
          <w:rFonts w:ascii="Inter" w:cs="Inter" w:eastAsia="Inter" w:hAnsi="Inter"/>
          <w:b/>
          <w:bCs/>
          <w:color w:val="1A2E3D"/>
          <w:sz w:val="22"/>
          <w:szCs w:val="22"/>
        </w:rPr>
        <w:t xml:space="preserve">Scope</w:t>
      </w:r>
    </w:p>
    <w:p>
      <w:pPr>
        <w:spacing w:after="80" w:before="60"/>
      </w:pPr>
      <w:r>
        <w:rPr>
          <w:rFonts w:ascii="Inter" w:cs="Inter" w:eastAsia="Inter" w:hAnsi="Inter"/>
          <w:color w:val="1A2E3D"/>
          <w:sz w:val="20"/>
          <w:szCs w:val="20"/>
        </w:rPr>
        <w:t xml:space="preserve">ITSU provides configuration, commissioning, and testing of network equipment — primarily routers and switches (Cisco, Nokia, Huawei, Juniper platforms). Unlike NISU (physical installation) and TISU (civil works), ITSU work is largely non-field, lab-based or remote.</w:t>
      </w:r>
    </w:p>
    <w:p>
      <w:pPr>
        <w:pStyle w:val="Heading3"/>
        <w:spacing w:after="80" w:before="240"/>
      </w:pPr>
      <w:r>
        <w:rPr>
          <w:rFonts w:ascii="Inter" w:cs="Inter" w:eastAsia="Inter" w:hAnsi="Inter"/>
          <w:b/>
          <w:bCs/>
          <w:color w:val="1A2E3D"/>
          <w:sz w:val="22"/>
          <w:szCs w:val="22"/>
        </w:rPr>
        <w:t xml:space="preserve">ITSU Distinctive Characteristics</w:t>
      </w:r>
    </w:p>
    <w:p>
      <w:pPr>
        <w:pStyle w:val="ListParagraph"/>
        <w:numPr>
          <w:ilvl w:val="0"/>
          <w:numId w:val="1"/>
        </w:numPr>
        <w:spacing w:after="40" w:before="40"/>
      </w:pPr>
      <w:r>
        <w:rPr>
          <w:rFonts w:ascii="Inter" w:cs="Inter" w:eastAsia="Inter" w:hAnsi="Inter"/>
          <w:color w:val="1A2E3D"/>
          <w:sz w:val="20"/>
          <w:szCs w:val="20"/>
        </w:rPr>
        <w:t xml:space="preserve">Dedicated resource pool: ITSU engineers are assigned to a configuration pool rather than to specific sites. They are allocated to tasks as capacity permits.</w:t>
      </w:r>
    </w:p>
    <w:p>
      <w:pPr>
        <w:pStyle w:val="ListParagraph"/>
        <w:numPr>
          <w:ilvl w:val="0"/>
          <w:numId w:val="1"/>
        </w:numPr>
        <w:spacing w:after="40" w:before="40"/>
      </w:pPr>
      <w:r>
        <w:rPr>
          <w:rFonts w:ascii="Inter" w:cs="Inter" w:eastAsia="Inter" w:hAnsi="Inter"/>
          <w:color w:val="1A2E3D"/>
          <w:sz w:val="20"/>
          <w:szCs w:val="20"/>
        </w:rPr>
        <w:t xml:space="preserve">Device-count billing: Revenue is typically per device configured, per software version, or per project phase — not per physical site.</w:t>
      </w:r>
    </w:p>
    <w:p>
      <w:pPr>
        <w:pStyle w:val="ListParagraph"/>
        <w:numPr>
          <w:ilvl w:val="0"/>
          <w:numId w:val="1"/>
        </w:numPr>
        <w:spacing w:after="40" w:before="40"/>
      </w:pPr>
      <w:r>
        <w:rPr>
          <w:rFonts w:ascii="Inter" w:cs="Inter" w:eastAsia="Inter" w:hAnsi="Inter"/>
          <w:color w:val="1A2E3D"/>
          <w:sz w:val="20"/>
          <w:szCs w:val="20"/>
        </w:rPr>
        <w:t xml:space="preserve">Lab environment: Configuration, staging, and testing happen in Ratal's lab before field deployment. Lab time is a cost that must be budgeted.</w:t>
      </w:r>
    </w:p>
    <w:p>
      <w:pPr>
        <w:pStyle w:val="ListParagraph"/>
        <w:numPr>
          <w:ilvl w:val="0"/>
          <w:numId w:val="1"/>
        </w:numPr>
        <w:spacing w:after="40" w:before="40"/>
      </w:pPr>
      <w:r>
        <w:rPr>
          <w:rFonts w:ascii="Inter" w:cs="Inter" w:eastAsia="Inter" w:hAnsi="Inter"/>
          <w:color w:val="1A2E3D"/>
          <w:sz w:val="20"/>
          <w:szCs w:val="20"/>
        </w:rPr>
        <w:t xml:space="preserve">Remote delivery: Many configuration tasks can be executed remotely (via console server, SSH, NETCONF) — reducing travel cost but requiring secure remote access infrastructure.</w:t>
      </w:r>
    </w:p>
    <w:p>
      <w:pPr>
        <w:pStyle w:val="ListParagraph"/>
        <w:numPr>
          <w:ilvl w:val="0"/>
          <w:numId w:val="1"/>
        </w:numPr>
        <w:spacing w:after="40" w:before="40"/>
      </w:pPr>
      <w:r>
        <w:rPr>
          <w:rFonts w:ascii="Inter" w:cs="Inter" w:eastAsia="Inter" w:hAnsi="Inter"/>
          <w:color w:val="1A2E3D"/>
          <w:sz w:val="20"/>
          <w:szCs w:val="20"/>
        </w:rPr>
        <w:t xml:space="preserve">Version control: Router / switch configurations must be version-controlled. Each change must be documented for rollback capability.</w:t>
      </w:r>
    </w:p>
    <w:p>
      <w:pPr>
        <w:pStyle w:val="Heading3"/>
        <w:spacing w:after="80" w:before="240"/>
      </w:pPr>
      <w:r>
        <w:rPr>
          <w:rFonts w:ascii="Inter" w:cs="Inter" w:eastAsia="Inter" w:hAnsi="Inter"/>
          <w:b/>
          <w:bCs/>
          <w:color w:val="1A2E3D"/>
          <w:sz w:val="22"/>
          <w:szCs w:val="22"/>
        </w:rPr>
        <w:t xml:space="preserve">ITSU Milestone Flow</w:t>
      </w:r>
    </w:p>
    <w:p>
      <w:pPr>
        <w:pStyle w:val="ListParagraph"/>
        <w:numPr>
          <w:ilvl w:val="0"/>
          <w:numId w:val="1"/>
        </w:numPr>
        <w:spacing w:after="40" w:before="40"/>
      </w:pPr>
      <w:r>
        <w:rPr>
          <w:rFonts w:ascii="Inter" w:cs="Inter" w:eastAsia="Inter" w:hAnsi="Inter"/>
          <w:color w:val="1A2E3D"/>
          <w:sz w:val="20"/>
          <w:szCs w:val="20"/>
        </w:rPr>
        <w:t xml:space="preserve">1. Configuration Template Development (per device model / client standard)</w:t>
      </w:r>
    </w:p>
    <w:p>
      <w:pPr>
        <w:pStyle w:val="ListParagraph"/>
        <w:numPr>
          <w:ilvl w:val="0"/>
          <w:numId w:val="1"/>
        </w:numPr>
        <w:spacing w:after="40" w:before="40"/>
      </w:pPr>
      <w:r>
        <w:rPr>
          <w:rFonts w:ascii="Inter" w:cs="Inter" w:eastAsia="Inter" w:hAnsi="Inter"/>
          <w:color w:val="1A2E3D"/>
          <w:sz w:val="20"/>
          <w:szCs w:val="20"/>
        </w:rPr>
        <w:t xml:space="preserve">2. Lab Staging &amp; Build (rack and stack, initial config push)</w:t>
      </w:r>
    </w:p>
    <w:p>
      <w:pPr>
        <w:pStyle w:val="ListParagraph"/>
        <w:numPr>
          <w:ilvl w:val="0"/>
          <w:numId w:val="1"/>
        </w:numPr>
        <w:spacing w:after="40" w:before="40"/>
      </w:pPr>
      <w:r>
        <w:rPr>
          <w:rFonts w:ascii="Inter" w:cs="Inter" w:eastAsia="Inter" w:hAnsi="Inter"/>
          <w:color w:val="1A2E3D"/>
          <w:sz w:val="20"/>
          <w:szCs w:val="20"/>
        </w:rPr>
        <w:t xml:space="preserve">3. Lab Testing (functional, redundancy, failover)</w:t>
      </w:r>
    </w:p>
    <w:p>
      <w:pPr>
        <w:pStyle w:val="ListParagraph"/>
        <w:numPr>
          <w:ilvl w:val="0"/>
          <w:numId w:val="1"/>
        </w:numPr>
        <w:spacing w:after="40" w:before="40"/>
      </w:pPr>
      <w:r>
        <w:rPr>
          <w:rFonts w:ascii="Inter" w:cs="Inter" w:eastAsia="Inter" w:hAnsi="Inter"/>
          <w:color w:val="1A2E3D"/>
          <w:sz w:val="20"/>
          <w:szCs w:val="20"/>
        </w:rPr>
        <w:t xml:space="preserve">4. Configuration Approval (contractor / client review)</w:t>
      </w:r>
    </w:p>
    <w:p>
      <w:pPr>
        <w:pStyle w:val="ListParagraph"/>
        <w:numPr>
          <w:ilvl w:val="0"/>
          <w:numId w:val="1"/>
        </w:numPr>
        <w:spacing w:after="40" w:before="40"/>
      </w:pPr>
      <w:r>
        <w:rPr>
          <w:rFonts w:ascii="Inter" w:cs="Inter" w:eastAsia="Inter" w:hAnsi="Inter"/>
          <w:color w:val="1A2E3D"/>
          <w:sz w:val="20"/>
          <w:szCs w:val="20"/>
        </w:rPr>
        <w:t xml:space="preserve">5. Field Deployment (remote push or on-site)</w:t>
      </w:r>
    </w:p>
    <w:p>
      <w:pPr>
        <w:pStyle w:val="ListParagraph"/>
        <w:numPr>
          <w:ilvl w:val="0"/>
          <w:numId w:val="1"/>
        </w:numPr>
        <w:spacing w:after="40" w:before="40"/>
      </w:pPr>
      <w:r>
        <w:rPr>
          <w:rFonts w:ascii="Inter" w:cs="Inter" w:eastAsia="Inter" w:hAnsi="Inter"/>
          <w:color w:val="1A2E3D"/>
          <w:sz w:val="20"/>
          <w:szCs w:val="20"/>
        </w:rPr>
        <w:t xml:space="preserve">6. Integration Testing (end-to-end with live network)</w:t>
      </w:r>
    </w:p>
    <w:p>
      <w:pPr>
        <w:pStyle w:val="ListParagraph"/>
        <w:numPr>
          <w:ilvl w:val="0"/>
          <w:numId w:val="1"/>
        </w:numPr>
        <w:spacing w:after="40" w:before="40"/>
      </w:pPr>
      <w:r>
        <w:rPr>
          <w:rFonts w:ascii="Inter" w:cs="Inter" w:eastAsia="Inter" w:hAnsi="Inter"/>
          <w:color w:val="1A2E3D"/>
          <w:sz w:val="20"/>
          <w:szCs w:val="20"/>
        </w:rPr>
        <w:t xml:space="preserve">7. Acceptance Test</w:t>
      </w:r>
    </w:p>
    <w:p>
      <w:pPr>
        <w:pStyle w:val="ListParagraph"/>
        <w:numPr>
          <w:ilvl w:val="0"/>
          <w:numId w:val="1"/>
        </w:numPr>
        <w:spacing w:after="40" w:before="40"/>
      </w:pPr>
      <w:r>
        <w:rPr>
          <w:rFonts w:ascii="Inter" w:cs="Inter" w:eastAsia="Inter" w:hAnsi="Inter"/>
          <w:color w:val="1A2E3D"/>
          <w:sz w:val="20"/>
          <w:szCs w:val="20"/>
        </w:rPr>
        <w:t xml:space="preserve">8. Documentation &amp; Handover (as-built configs, MIB, IP plan)</w:t>
      </w:r>
    </w:p>
    <w:p>
      <w:pPr>
        <w:pStyle w:val="Heading3"/>
        <w:spacing w:after="80" w:before="240"/>
      </w:pPr>
      <w:r>
        <w:rPr>
          <w:rFonts w:ascii="Inter" w:cs="Inter" w:eastAsia="Inter" w:hAnsi="Inter"/>
          <w:b/>
          <w:bCs/>
          <w:color w:val="1A2E3D"/>
          <w:sz w:val="22"/>
          <w:szCs w:val="22"/>
        </w:rPr>
        <w:t xml:space="preserve">ITSU Resource Pool Model</w:t>
      </w:r>
    </w:p>
    <w:p>
      <w:pPr>
        <w:spacing w:after="80" w:before="60"/>
      </w:pPr>
      <w:r>
        <w:rPr>
          <w:rFonts w:ascii="Inter" w:cs="Inter" w:eastAsia="Inter" w:hAnsi="Inter"/>
          <w:color w:val="1A2E3D"/>
          <w:sz w:val="20"/>
          <w:szCs w:val="20"/>
        </w:rPr>
        <w:t xml:space="preserve">Because ITSU engineers serve multiple projects simultaneously, the budget model differs: cost is tracked as engineer-days allocated to each project, not as material + sub-con costs. The Site Master for ITSU projects must capture:</w:t>
      </w:r>
    </w:p>
    <w:p>
      <w:pPr>
        <w:pStyle w:val="ListParagraph"/>
        <w:numPr>
          <w:ilvl w:val="0"/>
          <w:numId w:val="1"/>
        </w:numPr>
        <w:spacing w:after="40" w:before="40"/>
      </w:pPr>
      <w:r>
        <w:rPr>
          <w:rFonts w:ascii="Inter" w:cs="Inter" w:eastAsia="Inter" w:hAnsi="Inter"/>
          <w:color w:val="1A2E3D"/>
          <w:sz w:val="20"/>
          <w:szCs w:val="20"/>
        </w:rPr>
        <w:t xml:space="preserve">Planned engineer-days per configuration scope</w:t>
      </w:r>
    </w:p>
    <w:p>
      <w:pPr>
        <w:pStyle w:val="ListParagraph"/>
        <w:numPr>
          <w:ilvl w:val="0"/>
          <w:numId w:val="1"/>
        </w:numPr>
        <w:spacing w:after="40" w:before="40"/>
      </w:pPr>
      <w:r>
        <w:rPr>
          <w:rFonts w:ascii="Inter" w:cs="Inter" w:eastAsia="Inter" w:hAnsi="Inter"/>
          <w:color w:val="1A2E3D"/>
          <w:sz w:val="20"/>
          <w:szCs w:val="20"/>
        </w:rPr>
        <w:t xml:space="preserve">Actual engineer-days consumed (from timesheet / task allocation)</w:t>
      </w:r>
    </w:p>
    <w:p>
      <w:pPr>
        <w:pStyle w:val="ListParagraph"/>
        <w:numPr>
          <w:ilvl w:val="0"/>
          <w:numId w:val="1"/>
        </w:numPr>
        <w:spacing w:after="40" w:before="40"/>
      </w:pPr>
      <w:r>
        <w:rPr>
          <w:rFonts w:ascii="Inter" w:cs="Inter" w:eastAsia="Inter" w:hAnsi="Inter"/>
          <w:color w:val="1A2E3D"/>
          <w:sz w:val="20"/>
          <w:szCs w:val="20"/>
        </w:rPr>
        <w:t xml:space="preserve">Lab infrastructure cost allocation (server time, licence fees)</w:t>
      </w:r>
    </w:p>
    <w:p>
      <w:pPr>
        <w:pStyle w:val="ListParagraph"/>
        <w:numPr>
          <w:ilvl w:val="0"/>
          <w:numId w:val="1"/>
        </w:numPr>
        <w:spacing w:after="40" w:before="40"/>
      </w:pPr>
      <w:r>
        <w:rPr>
          <w:rFonts w:ascii="Inter" w:cs="Inter" w:eastAsia="Inter" w:hAnsi="Inter"/>
          <w:color w:val="1A2E3D"/>
          <w:sz w:val="20"/>
          <w:szCs w:val="20"/>
        </w:rPr>
        <w:t xml:space="preserve">Remote access tools / VPN cost allocation</w:t>
      </w:r>
    </w:p>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4.  The Site Master — Concept &amp; Purpose</w:t>
      </w:r>
    </w:p>
    <w:p>
      <w:pPr>
        <w:pStyle w:val="Heading2"/>
        <w:spacing w:after="120" w:before="320"/>
      </w:pPr>
      <w:r>
        <w:rPr>
          <w:rFonts w:ascii="Inter" w:cs="Inter" w:eastAsia="Inter" w:hAnsi="Inter"/>
          <w:b/>
          <w:bCs/>
          <w:color w:val="1565C0"/>
          <w:sz w:val="26"/>
          <w:szCs w:val="26"/>
        </w:rPr>
        <w:t xml:space="preserve">4.1  What Is the Site Master?</w:t>
      </w:r>
    </w:p>
    <w:p>
      <w:pPr>
        <w:spacing w:after="80" w:before="60"/>
      </w:pPr>
      <w:r>
        <w:rPr>
          <w:rFonts w:ascii="Inter" w:cs="Inter" w:eastAsia="Inter" w:hAnsi="Inter"/>
          <w:color w:val="1A2E3D"/>
          <w:sz w:val="20"/>
          <w:szCs w:val="20"/>
        </w:rPr>
        <w:t xml:space="preserve">The Site Master is the single source of truth for one unit of revenue — whether that is a site, a Job#, an RFC#, a tower, or a configuration task. It is the digital equivalent of the job card used in the field today.</w:t>
      </w:r>
    </w:p>
    <w:p>
      <w:pPr>
        <w:spacing w:after="80" w:before="60"/>
      </w:pPr>
      <w:r>
        <w:rPr>
          <w:rFonts w:ascii="Inter" w:cs="Inter" w:eastAsia="Inter" w:hAnsi="Inter"/>
          <w:color w:val="1A2E3D"/>
          <w:sz w:val="20"/>
          <w:szCs w:val="20"/>
        </w:rPr>
        <w:t xml:space="preserve">Every Site Master is anchored to:</w:t>
      </w:r>
    </w:p>
    <w:p>
      <w:pPr>
        <w:pStyle w:val="ListParagraph"/>
        <w:numPr>
          <w:ilvl w:val="0"/>
          <w:numId w:val="1"/>
        </w:numPr>
        <w:spacing w:after="40" w:before="40"/>
      </w:pPr>
      <w:r>
        <w:rPr>
          <w:rFonts w:ascii="Inter" w:cs="Inter" w:eastAsia="Inter" w:hAnsi="Inter"/>
          <w:color w:val="1A2E3D"/>
          <w:sz w:val="20"/>
          <w:szCs w:val="20"/>
        </w:rPr>
        <w:t xml:space="preserve">A Contractor PO (the revenue ceiling — the maximum Ratal can invoice for this unit of work)</w:t>
      </w:r>
    </w:p>
    <w:p>
      <w:pPr>
        <w:pStyle w:val="ListParagraph"/>
        <w:numPr>
          <w:ilvl w:val="0"/>
          <w:numId w:val="1"/>
        </w:numPr>
        <w:spacing w:after="40" w:before="40"/>
      </w:pPr>
      <w:r>
        <w:rPr>
          <w:rFonts w:ascii="Inter" w:cs="Inter" w:eastAsia="Inter" w:hAnsi="Inter"/>
          <w:color w:val="1A2E3D"/>
          <w:sz w:val="20"/>
          <w:szCs w:val="20"/>
        </w:rPr>
        <w:t xml:space="preserve">A set of budgeted costs broken down by category (sub-contractors, suppliers, manpower, expenses)</w:t>
      </w:r>
    </w:p>
    <w:p>
      <w:pPr>
        <w:pStyle w:val="ListParagraph"/>
        <w:numPr>
          <w:ilvl w:val="0"/>
          <w:numId w:val="1"/>
        </w:numPr>
        <w:spacing w:after="40" w:before="40"/>
      </w:pPr>
      <w:r>
        <w:rPr>
          <w:rFonts w:ascii="Inter" w:cs="Inter" w:eastAsia="Inter" w:hAnsi="Inter"/>
          <w:color w:val="1A2E3D"/>
          <w:sz w:val="20"/>
          <w:szCs w:val="20"/>
        </w:rPr>
        <w:t xml:space="preserve">A set of actual costs as they are incurred (POs issued, payments made, expenses submitted, manpower allocated)</w:t>
      </w:r>
    </w:p>
    <w:p>
      <w:pPr>
        <w:pStyle w:val="ListParagraph"/>
        <w:numPr>
          <w:ilvl w:val="0"/>
          <w:numId w:val="1"/>
        </w:numPr>
        <w:spacing w:after="40" w:before="40"/>
      </w:pPr>
      <w:r>
        <w:rPr>
          <w:rFonts w:ascii="Inter" w:cs="Inter" w:eastAsia="Inter" w:hAnsi="Inter"/>
          <w:color w:val="1A2E3D"/>
          <w:sz w:val="20"/>
          <w:szCs w:val="20"/>
        </w:rPr>
        <w:t xml:space="preserve">A milestone checklist specific to the service unit (NISU / TISU / CISU / ITSU)</w:t>
      </w:r>
    </w:p>
    <w:p>
      <w:pPr>
        <w:pStyle w:val="ListParagraph"/>
        <w:numPr>
          <w:ilvl w:val="0"/>
          <w:numId w:val="1"/>
        </w:numPr>
        <w:spacing w:after="40" w:before="40"/>
      </w:pPr>
      <w:r>
        <w:rPr>
          <w:rFonts w:ascii="Inter" w:cs="Inter" w:eastAsia="Inter" w:hAnsi="Inter"/>
          <w:color w:val="1A2E3D"/>
          <w:sz w:val="20"/>
          <w:szCs w:val="20"/>
        </w:rPr>
        <w:t xml:space="preserve">A live Budget vs Actual dashboard showing the profitability position at any moment</w:t>
      </w:r>
    </w:p>
    <w:p>
      <w:pPr>
        <w:pStyle w:val="Heading2"/>
        <w:spacing w:after="120" w:before="320"/>
      </w:pPr>
      <w:r>
        <w:rPr>
          <w:rFonts w:ascii="Inter" w:cs="Inter" w:eastAsia="Inter" w:hAnsi="Inter"/>
          <w:b/>
          <w:bCs/>
          <w:color w:val="1565C0"/>
          <w:sz w:val="26"/>
          <w:szCs w:val="26"/>
        </w:rPr>
        <w:t xml:space="preserve">4.2  Site Master Identifier</w:t>
      </w:r>
    </w:p>
    <w:p>
      <w:pPr>
        <w:spacing w:after="80" w:before="60"/>
      </w:pPr>
      <w:r>
        <w:rPr>
          <w:rFonts w:ascii="Inter" w:cs="Inter" w:eastAsia="Inter" w:hAnsi="Inter"/>
          <w:color w:val="1A2E3D"/>
          <w:sz w:val="20"/>
          <w:szCs w:val="20"/>
        </w:rPr>
        <w:t xml:space="preserve">Site Masters are auto-generated with the format:</w:t>
      </w:r>
    </w:p>
    <w:p>
      <w:pPr>
        <w:shd w:fill="E3F2FD" w:color="auto" w:val="clear"/>
        <w:spacing w:after="120" w:before="120"/>
        <w:jc w:val="center"/>
      </w:pPr>
      <w:r>
        <w:rPr>
          <w:rFonts w:ascii="Courier New" w:cs="Courier New" w:eastAsia="Courier New" w:hAnsi="Courier New"/>
          <w:b/>
          <w:bCs/>
          <w:color w:val="1565C0"/>
          <w:sz w:val="28"/>
          <w:szCs w:val="28"/>
        </w:rPr>
        <w:t xml:space="preserve">SM-[UNIT]-[YY]-[SEQUENCE]</w:t>
      </w:r>
    </w:p>
    <w:p>
      <w:pPr>
        <w:spacing w:after="80" w:before="60"/>
      </w:pPr>
      <w:r>
        <w:rPr>
          <w:rFonts w:ascii="Inter" w:cs="Inter" w:eastAsia="Inter" w:hAnsi="Inter"/>
          <w:color w:val="1A2E3D"/>
          <w:sz w:val="20"/>
          <w:szCs w:val="20"/>
        </w:rPr>
        <w:t xml:space="preserve">Examples:</w:t>
      </w:r>
    </w:p>
    <w:p>
      <w:pPr>
        <w:pStyle w:val="ListParagraph"/>
        <w:numPr>
          <w:ilvl w:val="0"/>
          <w:numId w:val="1"/>
        </w:numPr>
        <w:spacing w:after="40" w:before="40"/>
      </w:pPr>
      <w:r>
        <w:rPr>
          <w:rFonts w:ascii="Inter" w:cs="Inter" w:eastAsia="Inter" w:hAnsi="Inter"/>
          <w:color w:val="1A2E3D"/>
          <w:sz w:val="20"/>
          <w:szCs w:val="20"/>
        </w:rPr>
        <w:t xml:space="preserve">SM-NISU-26-001  (first NISU site master in 2026)</w:t>
      </w:r>
    </w:p>
    <w:p>
      <w:pPr>
        <w:pStyle w:val="ListParagraph"/>
        <w:numPr>
          <w:ilvl w:val="0"/>
          <w:numId w:val="1"/>
        </w:numPr>
        <w:spacing w:after="40" w:before="40"/>
      </w:pPr>
      <w:r>
        <w:rPr>
          <w:rFonts w:ascii="Inter" w:cs="Inter" w:eastAsia="Inter" w:hAnsi="Inter"/>
          <w:color w:val="1A2E3D"/>
          <w:sz w:val="20"/>
          <w:szCs w:val="20"/>
        </w:rPr>
        <w:t xml:space="preserve">SM-TISU-26-047  (47th TISU tower in 2026)</w:t>
      </w:r>
    </w:p>
    <w:p>
      <w:pPr>
        <w:pStyle w:val="ListParagraph"/>
        <w:numPr>
          <w:ilvl w:val="0"/>
          <w:numId w:val="1"/>
        </w:numPr>
        <w:spacing w:after="40" w:before="40"/>
      </w:pPr>
      <w:r>
        <w:rPr>
          <w:rFonts w:ascii="Inter" w:cs="Inter" w:eastAsia="Inter" w:hAnsi="Inter"/>
          <w:color w:val="1A2E3D"/>
          <w:sz w:val="20"/>
          <w:szCs w:val="20"/>
        </w:rPr>
        <w:t xml:space="preserve">SM-CISU-26-003  (third CISU project unit in 2026)</w:t>
      </w:r>
    </w:p>
    <w:p>
      <w:pPr>
        <w:pStyle w:val="ListParagraph"/>
        <w:numPr>
          <w:ilvl w:val="0"/>
          <w:numId w:val="1"/>
        </w:numPr>
        <w:spacing w:after="40" w:before="40"/>
      </w:pPr>
      <w:r>
        <w:rPr>
          <w:rFonts w:ascii="Inter" w:cs="Inter" w:eastAsia="Inter" w:hAnsi="Inter"/>
          <w:color w:val="1A2E3D"/>
          <w:sz w:val="20"/>
          <w:szCs w:val="20"/>
        </w:rPr>
        <w:t xml:space="preserve">SM-ITSU-26-012  (12th ITSU configuration task in 2026)</w:t>
      </w:r>
    </w:p>
    <w:p>
      <w:pPr>
        <w:spacing w:after="80" w:before="80"/>
      </w:pPr>
      <w:r>
        <w:t xml:space="preserve"/>
      </w:r>
    </w:p>
    <w:p>
      <w:pPr>
        <w:pStyle w:val="Heading2"/>
        <w:spacing w:after="120" w:before="320"/>
      </w:pPr>
      <w:r>
        <w:rPr>
          <w:rFonts w:ascii="Inter" w:cs="Inter" w:eastAsia="Inter" w:hAnsi="Inter"/>
          <w:b/>
          <w:bCs/>
          <w:color w:val="1565C0"/>
          <w:sz w:val="26"/>
          <w:szCs w:val="26"/>
        </w:rPr>
        <w:t xml:space="preserve">4.3  Site Master Hierarchy</w:t>
      </w:r>
    </w:p>
    <w:p>
      <w:pPr>
        <w:spacing w:after="80" w:before="60"/>
      </w:pPr>
      <w:r>
        <w:rPr>
          <w:rFonts w:ascii="Inter" w:cs="Inter" w:eastAsia="Inter" w:hAnsi="Inter"/>
          <w:color w:val="1A2E3D"/>
          <w:sz w:val="20"/>
          <w:szCs w:val="20"/>
        </w:rPr>
        <w:t xml:space="preserve">The Site Master sits within a three-level hierarchy: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00"/>
      </w:tblGrid>
      <w:tr>
        <w:tc>
          <w:tcPr>
            <w:tcW w:type="dxa" w:w="2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Level</w:t>
            </w:r>
          </w:p>
        </w:tc>
        <w:tc>
          <w:tcPr>
            <w:tcW w:type="dxa" w:w="3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Entity</w:t>
            </w:r>
          </w:p>
        </w:tc>
        <w:tc>
          <w:tcPr>
            <w:tcW w:type="dxa" w:w="43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Description</w:t>
            </w:r>
          </w:p>
        </w:tc>
      </w:tr>
      <w:tr>
        <w:tc>
          <w:tcPr>
            <w:tcW w:type="dxa" w:w="2000"/>
            <w:gridSpan w:val="1"/>
            <w:shd w:fill="1A2E3D"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Level 1</w:t>
            </w:r>
          </w:p>
        </w:tc>
        <w:tc>
          <w:tcPr>
            <w:tcW w:type="dxa" w:w="3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Project</w:t>
            </w:r>
          </w:p>
        </w:tc>
        <w:tc>
          <w:tcPr>
            <w:tcW w:type="dxa" w:w="43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Tied to an LOI / Contract. May span years and contain hundreds of sites. E.g., "STC PE-Agg Expansion 2026"</w:t>
            </w:r>
          </w:p>
        </w:tc>
      </w:tr>
      <w:tr>
        <w:tc>
          <w:tcPr>
            <w:tcW w:type="dxa" w:w="2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Level 2</w:t>
            </w:r>
          </w:p>
        </w:tc>
        <w:tc>
          <w:tcPr>
            <w:tcW w:type="dxa" w:w="3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Master (Job# / Site# / RFC# / Activity)</w:t>
            </w:r>
          </w:p>
        </w:tc>
        <w:tc>
          <w:tcPr>
            <w:tcW w:type="dxa" w:w="43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One per revenue unit. Holds the contractor PO + budget + actuals + milestones. This is the profit centre.</w:t>
            </w:r>
          </w:p>
        </w:tc>
      </w:tr>
      <w:tr>
        <w:tc>
          <w:tcPr>
            <w:tcW w:type="dxa" w:w="2000"/>
            <w:gridSpan w:val="1"/>
            <w:shd w:fill="FFF3E0"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Level 3</w:t>
            </w:r>
          </w:p>
        </w:tc>
        <w:tc>
          <w:tcPr>
            <w:tcW w:type="dxa" w:w="30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Cost Line Items</w:t>
            </w:r>
          </w:p>
        </w:tc>
        <w:tc>
          <w:tcPr>
            <w:tcW w:type="dxa" w:w="43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Individual POs to sub-cons/suppliers, expense claims, manpower allocation records, OT and FA entries.</w:t>
            </w:r>
          </w:p>
        </w:tc>
      </w:tr>
    </w:tbl>
    <w:p>
      <w:pPr>
        <w:pBdr>
          <w:left w:val="thick" w:color="1565C0" w:sz="12" w:space="8"/>
        </w:pBdr>
        <w:spacing w:after="80" w:before="80"/>
        <w:ind w:left="400"/>
      </w:pPr>
      <w:r>
        <w:rPr>
          <w:rFonts w:ascii="Inter" w:cs="Inter" w:eastAsia="Inter" w:hAnsi="Inter"/>
          <w:color w:val="1565C0"/>
          <w:sz w:val="18"/>
          <w:szCs w:val="18"/>
        </w:rPr>
        <w:t xml:space="preserve">Roll-up Rule: Project-level Budget vs Actual is the sum of all Site Master Budget vs Actual positions within that project. There is no separate project-level budget entry — all numbers flow from site level.</w:t>
      </w:r>
    </w:p>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5.  Site Master — Form Design (Conceptual)</w:t>
      </w:r>
    </w:p>
    <w:p>
      <w:pPr>
        <w:spacing w:after="80" w:before="60"/>
      </w:pPr>
      <w:r>
        <w:rPr>
          <w:rFonts w:ascii="Inter" w:cs="Inter" w:eastAsia="Inter" w:hAnsi="Inter"/>
          <w:color w:val="1A2E3D"/>
          <w:sz w:val="20"/>
          <w:szCs w:val="20"/>
        </w:rPr>
        <w:t xml:space="preserve">The following describes the fields and sections of the Site Master form in the web application. No code is presented here — this is the field specification for design review.</w:t>
      </w:r>
    </w:p>
    <w:p>
      <w:pPr>
        <w:pStyle w:val="Heading2"/>
        <w:spacing w:after="120" w:before="320"/>
      </w:pPr>
      <w:r>
        <w:rPr>
          <w:rFonts w:ascii="Inter" w:cs="Inter" w:eastAsia="Inter" w:hAnsi="Inter"/>
          <w:b/>
          <w:bCs/>
          <w:color w:val="1565C0"/>
          <w:sz w:val="26"/>
          <w:szCs w:val="26"/>
        </w:rPr>
        <w:t xml:space="preserve">5.1  Header Section (all units)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00"/>
      </w:tblGrid>
      <w:tr>
        <w:tc>
          <w:tcPr>
            <w:tcW w:type="dxa" w:w="2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Field</w:t>
            </w:r>
          </w:p>
        </w:tc>
        <w:tc>
          <w:tcPr>
            <w:tcW w:type="dxa" w:w="1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Type</w:t>
            </w:r>
          </w:p>
        </w:tc>
        <w:tc>
          <w:tcPr>
            <w:tcW w:type="dxa" w:w="49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Notes</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Master ID</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Auto (read-only)</w:t>
            </w:r>
          </w:p>
        </w:tc>
        <w:tc>
          <w:tcPr>
            <w:tcW w:type="dxa" w:w="4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Format: SM-[UNIT]-[YY]-[SEQ]. Non-editable once created.</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Service Unit</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4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NISU / TISU / CISU / ITSU — determines which milestone set is shown.</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Project #</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Linked dropdown</w:t>
            </w:r>
          </w:p>
        </w:tc>
        <w:tc>
          <w:tcPr>
            <w:tcW w:type="dxa" w:w="4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Pulls from Projects table. Sets entity + contractor context.</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Job # / Site # / RFC#</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Free text</w:t>
            </w:r>
          </w:p>
        </w:tc>
        <w:tc>
          <w:tcPr>
            <w:tcW w:type="dxa" w:w="4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Client classification for this unit of work (e.g., STC-JOB-00123).</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SOW # (NISU only)</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Free text</w:t>
            </w:r>
          </w:p>
        </w:tc>
        <w:tc>
          <w:tcPr>
            <w:tcW w:type="dxa" w:w="4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Statement of Work number — maps to the BOQ model type.</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Tower Type (TISU only)</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4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4-Leg / Monopole / Tri-Leg. Determines sub-con scope and material list.</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Tower Height (TISU)</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4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30m / 45m / 60m / 75m / 90m</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End Client</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4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STC / TAWAL / Mobily / Zain — read from clients master.</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 (Party List)</w:t>
            </w:r>
          </w:p>
        </w:tc>
        <w:tc>
          <w:tcPr>
            <w:tcW w:type="dxa" w:w="4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Nokia / Huawei / Cisco / ZTE — from CONTRACTOR type in Party List.</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 PO #</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Free text + Amount</w:t>
            </w:r>
          </w:p>
        </w:tc>
        <w:tc>
          <w:tcPr>
            <w:tcW w:type="dxa" w:w="4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The PO issued by the contractor. Amount = revenue ceiling for this SM.</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Name / Location</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Free text</w:t>
            </w:r>
          </w:p>
        </w:tc>
        <w:tc>
          <w:tcPr>
            <w:tcW w:type="dxa" w:w="4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Human-readable site name + GPS coordinates (optional).</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Region</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4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Riyadh / Jeddah / Eastern / Makkah / Madinah / Other.</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Status</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4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Open / Survey / Active / On Hold / PAT / Completed / Invoiced / Closed.</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Start Date</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Date</w:t>
            </w:r>
          </w:p>
        </w:tc>
        <w:tc>
          <w:tcPr>
            <w:tcW w:type="dxa" w:w="4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DD/MM/YYYY</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Target Completion</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Date</w:t>
            </w:r>
          </w:p>
        </w:tc>
        <w:tc>
          <w:tcPr>
            <w:tcW w:type="dxa" w:w="4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DD/MM/YYYY — used for schedule variance tracking.</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Actual Completion</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Date</w:t>
            </w:r>
          </w:p>
        </w:tc>
        <w:tc>
          <w:tcPr>
            <w:tcW w:type="dxa" w:w="4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DD/MM/YYYY — auto-set when final milestone is checked.</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Our PM</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 (Employees)</w:t>
            </w:r>
          </w:p>
        </w:tc>
        <w:tc>
          <w:tcPr>
            <w:tcW w:type="dxa" w:w="4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Ratal's assigned Project Manager from employee list.</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Our Supervisor</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 (Employees)</w:t>
            </w:r>
          </w:p>
        </w:tc>
        <w:tc>
          <w:tcPr>
            <w:tcW w:type="dxa" w:w="4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Ratal's assigned Supervisor from employee list.</w:t>
            </w:r>
          </w:p>
        </w:tc>
      </w:tr>
    </w:tbl>
    <w:p>
      <w:pPr>
        <w:spacing w:after="80" w:before="80"/>
      </w:pPr>
      <w:r>
        <w:t xml:space="preserve"/>
      </w:r>
    </w:p>
    <w:p>
      <w:pPr>
        <w:pStyle w:val="Heading2"/>
        <w:spacing w:after="120" w:before="320"/>
      </w:pPr>
      <w:r>
        <w:rPr>
          <w:rFonts w:ascii="Inter" w:cs="Inter" w:eastAsia="Inter" w:hAnsi="Inter"/>
          <w:b/>
          <w:bCs/>
          <w:color w:val="1565C0"/>
          <w:sz w:val="26"/>
          <w:szCs w:val="26"/>
        </w:rPr>
        <w:t xml:space="preserve">5.2  Budget Section</w:t>
      </w:r>
    </w:p>
    <w:p>
      <w:pPr>
        <w:spacing w:after="80" w:before="60"/>
      </w:pPr>
      <w:r>
        <w:rPr>
          <w:rFonts w:ascii="Inter" w:cs="Inter" w:eastAsia="Inter" w:hAnsi="Inter"/>
          <w:color w:val="1A2E3D"/>
          <w:sz w:val="20"/>
          <w:szCs w:val="20"/>
        </w:rPr>
        <w:t xml:space="preserve">The Budget section is filled by the Department Head or Project Manager when the Site Master is opened (i.e., immediately after receiving the Contractor PO). It represents the planned cost breakdown: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00"/>
      </w:tblGrid>
      <w:tr>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Budget Category</w:t>
            </w:r>
          </w:p>
        </w:tc>
        <w:tc>
          <w:tcPr>
            <w:tcW w:type="dxa" w:w="1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Budget Amount</w:t>
            </w:r>
          </w:p>
        </w:tc>
        <w:tc>
          <w:tcPr>
            <w:tcW w:type="dxa" w:w="1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Actual to Date</w:t>
            </w:r>
          </w:p>
        </w:tc>
        <w:tc>
          <w:tcPr>
            <w:tcW w:type="dxa" w:w="3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Notes</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Sub-Contractor — Excavation</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___</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555555"/>
                <w:sz w:val="18"/>
                <w:szCs w:val="18"/>
              </w:rPr>
              <w:t xml:space="preserve">SAR ___</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TISU only; varies by tower type and region</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Sub-Contractor — Foundation</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___</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555555"/>
                <w:sz w:val="18"/>
                <w:szCs w:val="18"/>
              </w:rPr>
              <w:t xml:space="preserve">SAR ___</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TISU only</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Sub-Contractor — Erection</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___</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555555"/>
                <w:sz w:val="18"/>
                <w:szCs w:val="18"/>
              </w:rPr>
              <w:t xml:space="preserve">SAR ___</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TISU only; largest sub-con cost</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Sub-Contractor — Fencing</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___</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555555"/>
                <w:sz w:val="18"/>
                <w:szCs w:val="18"/>
              </w:rPr>
              <w:t xml:space="preserve">SAR ___</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TISU only</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Sub-Contractor — Testing/Cert.</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___</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555555"/>
                <w:sz w:val="18"/>
                <w:szCs w:val="18"/>
              </w:rPr>
              <w:t xml:space="preserve">SAR ___</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TISU + CISU</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Sub-Contractor — Transportation</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___</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555555"/>
                <w:sz w:val="18"/>
                <w:szCs w:val="18"/>
              </w:rPr>
              <w:t xml:space="preserve">SAR ___</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TISU only</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Sub-Contractor — Other</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___</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555555"/>
                <w:sz w:val="18"/>
                <w:szCs w:val="18"/>
              </w:rPr>
              <w:t xml:space="preserve">SAR ___</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All units</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Materials — Passive (Cables etc.)</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___</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555555"/>
                <w:sz w:val="18"/>
                <w:szCs w:val="18"/>
              </w:rPr>
              <w:t xml:space="preserve">SAR ___</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NISU: cabinets, fiber, UTP, ODF, CBs</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Materials — Civil (Steel/Concrete)</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___</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555555"/>
                <w:sz w:val="18"/>
                <w:szCs w:val="18"/>
              </w:rPr>
              <w:t xml:space="preserve">SAR ___</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TISU: rebar, cement, gravel, concrete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Materials — Other</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___</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555555"/>
                <w:sz w:val="18"/>
                <w:szCs w:val="18"/>
              </w:rPr>
              <w:t xml:space="preserve">SAR ___</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All units</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Manpower — Internal Labour</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___</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555555"/>
                <w:sz w:val="18"/>
                <w:szCs w:val="18"/>
              </w:rPr>
              <w:t xml:space="preserve">SAR ___</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Calculated from payroll + OT allocation</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Manpower — ITSU Engineer-Days</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___</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555555"/>
                <w:sz w:val="18"/>
                <w:szCs w:val="18"/>
              </w:rPr>
              <w:t xml:space="preserve">SAR ___</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ITSU only; daily rate × planned days</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Food Allowance</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___</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555555"/>
                <w:sz w:val="18"/>
                <w:szCs w:val="18"/>
              </w:rPr>
              <w:t xml:space="preserve">SAR ___</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From FA records linked to this SM</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Site Expenses</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___</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555555"/>
                <w:sz w:val="18"/>
                <w:szCs w:val="18"/>
              </w:rPr>
              <w:t xml:space="preserve">SAR ___</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Fuel, accommodation, per diem</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Overhead Allocation</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___</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555555"/>
                <w:sz w:val="18"/>
                <w:szCs w:val="18"/>
              </w:rPr>
              <w:t xml:space="preserve">SAR ___</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Fixed % of revenue (to be defined)</w:t>
            </w:r>
          </w:p>
        </w:tc>
      </w:tr>
      <w:tr>
        <w:tc>
          <w:tcPr>
            <w:tcW w:type="dxa" w:w="24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TOTAL BUDGET COST</w:t>
            </w:r>
          </w:p>
        </w:tc>
        <w:tc>
          <w:tcPr>
            <w:tcW w:type="dxa" w:w="16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SAR ___</w:t>
            </w:r>
          </w:p>
        </w:tc>
        <w:tc>
          <w:tcPr>
            <w:tcW w:type="dxa" w:w="16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2E7D32"/>
                <w:sz w:val="18"/>
                <w:szCs w:val="18"/>
              </w:rPr>
              <w:t xml:space="preserve">SAR ___</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
            </w:r>
          </w:p>
        </w:tc>
      </w:tr>
      <w:tr>
        <w:tc>
          <w:tcPr>
            <w:tcW w:type="dxa" w:w="24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 PO (Revenue)</w:t>
            </w:r>
          </w:p>
        </w:tc>
        <w:tc>
          <w:tcPr>
            <w:tcW w:type="dxa" w:w="16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SAR ___</w:t>
            </w:r>
          </w:p>
        </w:tc>
        <w:tc>
          <w:tcPr>
            <w:tcW w:type="dxa" w:w="16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2E7D32"/>
                <w:sz w:val="18"/>
                <w:szCs w:val="18"/>
              </w:rPr>
              <w:t xml:space="preserve">SAR ___</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From Contractor PO field — read-only here</w:t>
            </w:r>
          </w:p>
        </w:tc>
      </w:tr>
      <w:tr>
        <w:tc>
          <w:tcPr>
            <w:tcW w:type="dxa" w:w="24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BUDGETED MARGIN (SAR / %)</w:t>
            </w:r>
          </w:p>
        </w:tc>
        <w:tc>
          <w:tcPr>
            <w:tcW w:type="dxa" w:w="16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SAR ___</w:t>
            </w:r>
          </w:p>
        </w:tc>
        <w:tc>
          <w:tcPr>
            <w:tcW w:type="dxa" w:w="16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2E7D32"/>
                <w:sz w:val="18"/>
                <w:szCs w:val="18"/>
              </w:rPr>
              <w:t xml:space="preserve">___  %</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Revenue minus Total Budget Cost</w:t>
            </w:r>
          </w:p>
        </w:tc>
      </w:tr>
    </w:tbl>
    <w:p>
      <w:pPr>
        <w:spacing w:after="80" w:before="80"/>
      </w:pPr>
      <w:r>
        <w:t xml:space="preserve"/>
      </w:r>
    </w:p>
    <w:p>
      <w:r>
        <w:br w:type="page"/>
      </w:r>
    </w:p>
    <w:p>
      <w:pPr>
        <w:pStyle w:val="Heading2"/>
        <w:spacing w:after="120" w:before="320"/>
      </w:pPr>
      <w:r>
        <w:rPr>
          <w:rFonts w:ascii="Inter" w:cs="Inter" w:eastAsia="Inter" w:hAnsi="Inter"/>
          <w:b/>
          <w:bCs/>
          <w:color w:val="1565C0"/>
          <w:sz w:val="26"/>
          <w:szCs w:val="26"/>
        </w:rPr>
        <w:t xml:space="preserve">5.3  Milestone Tracking Section</w:t>
      </w:r>
    </w:p>
    <w:p>
      <w:pPr>
        <w:spacing w:after="80" w:before="60"/>
      </w:pPr>
      <w:r>
        <w:rPr>
          <w:rFonts w:ascii="Inter" w:cs="Inter" w:eastAsia="Inter" w:hAnsi="Inter"/>
          <w:color w:val="1A2E3D"/>
          <w:sz w:val="20"/>
          <w:szCs w:val="20"/>
        </w:rPr>
        <w:t xml:space="preserve">The milestone section changes dynamically based on the selected Service Unit. Each milestone has:</w:t>
      </w:r>
    </w:p>
    <w:p>
      <w:pPr>
        <w:pStyle w:val="ListParagraph"/>
        <w:numPr>
          <w:ilvl w:val="0"/>
          <w:numId w:val="1"/>
        </w:numPr>
        <w:spacing w:after="40" w:before="40"/>
      </w:pPr>
      <w:r>
        <w:rPr>
          <w:rFonts w:ascii="Inter" w:cs="Inter" w:eastAsia="Inter" w:hAnsi="Inter"/>
          <w:color w:val="1A2E3D"/>
          <w:sz w:val="20"/>
          <w:szCs w:val="20"/>
        </w:rPr>
        <w:t xml:space="preserve">Planned Date (set at budget time)</w:t>
      </w:r>
    </w:p>
    <w:p>
      <w:pPr>
        <w:pStyle w:val="ListParagraph"/>
        <w:numPr>
          <w:ilvl w:val="0"/>
          <w:numId w:val="1"/>
        </w:numPr>
        <w:spacing w:after="40" w:before="40"/>
      </w:pPr>
      <w:r>
        <w:rPr>
          <w:rFonts w:ascii="Inter" w:cs="Inter" w:eastAsia="Inter" w:hAnsi="Inter"/>
          <w:color w:val="1A2E3D"/>
          <w:sz w:val="20"/>
          <w:szCs w:val="20"/>
        </w:rPr>
        <w:t xml:space="preserve">Actual Date (set when milestone is completed — requires document upload for gate milestones)</w:t>
      </w:r>
    </w:p>
    <w:p>
      <w:pPr>
        <w:pStyle w:val="ListParagraph"/>
        <w:numPr>
          <w:ilvl w:val="0"/>
          <w:numId w:val="1"/>
        </w:numPr>
        <w:spacing w:after="40" w:before="40"/>
      </w:pPr>
      <w:r>
        <w:rPr>
          <w:rFonts w:ascii="Inter" w:cs="Inter" w:eastAsia="Inter" w:hAnsi="Inter"/>
          <w:color w:val="1A2E3D"/>
          <w:sz w:val="20"/>
          <w:szCs w:val="20"/>
        </w:rPr>
        <w:t xml:space="preserve">Completion status (Pending / In Progress / Done / Blocked)</w:t>
      </w:r>
    </w:p>
    <w:p>
      <w:pPr>
        <w:pStyle w:val="ListParagraph"/>
        <w:numPr>
          <w:ilvl w:val="0"/>
          <w:numId w:val="1"/>
        </w:numPr>
        <w:spacing w:after="40" w:before="40"/>
      </w:pPr>
      <w:r>
        <w:rPr>
          <w:rFonts w:ascii="Inter" w:cs="Inter" w:eastAsia="Inter" w:hAnsi="Inter"/>
          <w:color w:val="1A2E3D"/>
          <w:sz w:val="20"/>
          <w:szCs w:val="20"/>
        </w:rPr>
        <w:t xml:space="preserve">Responsible party (Our Team / Sub-Contractor / Contractor / Client)</w:t>
      </w:r>
    </w:p>
    <w:p>
      <w:pPr>
        <w:pStyle w:val="ListParagraph"/>
        <w:numPr>
          <w:ilvl w:val="0"/>
          <w:numId w:val="1"/>
        </w:numPr>
        <w:spacing w:after="40" w:before="40"/>
      </w:pPr>
      <w:r>
        <w:rPr>
          <w:rFonts w:ascii="Inter" w:cs="Inter" w:eastAsia="Inter" w:hAnsi="Inter"/>
          <w:color w:val="1A2E3D"/>
          <w:sz w:val="20"/>
          <w:szCs w:val="20"/>
        </w:rPr>
        <w:t xml:space="preserve">Gate flag: if checked, next milestone is locked until this one is marked Done</w:t>
      </w:r>
    </w:p>
    <w:p>
      <w:pPr>
        <w:pBdr>
          <w:left w:val="thick" w:color="FF385C" w:sz="12" w:space="8"/>
        </w:pBdr>
        <w:spacing w:after="80" w:before="80"/>
        <w:ind w:left="400"/>
      </w:pPr>
      <w:r>
        <w:rPr>
          <w:rFonts w:ascii="Inter" w:cs="Inter" w:eastAsia="Inter" w:hAnsi="Inter"/>
          <w:i/>
          <w:iCs/>
          <w:color w:val="E65100"/>
          <w:sz w:val="18"/>
          <w:szCs w:val="18"/>
        </w:rPr>
        <w:t xml:space="preserve">Invoice Eligibility: The system checks whether all invoice-gate milestones are marked Done before allowing an invoice to be raised against this Site Master. This prevents premature billing.</w:t>
      </w:r>
    </w:p>
    <w:p>
      <w:pPr>
        <w:spacing w:after="80" w:before="80"/>
      </w:pPr>
      <w:r>
        <w:t xml:space="preserve"/>
      </w:r>
    </w:p>
    <w:p>
      <w:pPr>
        <w:pStyle w:val="Heading2"/>
        <w:spacing w:after="120" w:before="320"/>
      </w:pPr>
      <w:r>
        <w:rPr>
          <w:rFonts w:ascii="Inter" w:cs="Inter" w:eastAsia="Inter" w:hAnsi="Inter"/>
          <w:b/>
          <w:bCs/>
          <w:color w:val="1565C0"/>
          <w:sz w:val="26"/>
          <w:szCs w:val="26"/>
        </w:rPr>
        <w:t xml:space="preserve">5.4  Sub-Contractor &amp; Supplier Assignment</w:t>
      </w:r>
    </w:p>
    <w:p>
      <w:pPr>
        <w:spacing w:after="80" w:before="60"/>
      </w:pPr>
      <w:r>
        <w:rPr>
          <w:rFonts w:ascii="Inter" w:cs="Inter" w:eastAsia="Inter" w:hAnsi="Inter"/>
          <w:color w:val="1A2E3D"/>
          <w:sz w:val="20"/>
          <w:szCs w:val="20"/>
        </w:rPr>
        <w:t xml:space="preserve">Within each Site Master, the PM assigns the specific sub-contractors and suppliers for each activity. This creates the linkage between the sub-con pool and the site:</w:t>
      </w:r>
    </w:p>
    <w:p>
      <w:pPr>
        <w:pStyle w:val="ListParagraph"/>
        <w:numPr>
          <w:ilvl w:val="0"/>
          <w:numId w:val="1"/>
        </w:numPr>
        <w:spacing w:after="40" w:before="40"/>
      </w:pPr>
      <w:r>
        <w:rPr>
          <w:rFonts w:ascii="Inter" w:cs="Inter" w:eastAsia="Inter" w:hAnsi="Inter"/>
          <w:color w:val="1A2E3D"/>
          <w:sz w:val="20"/>
          <w:szCs w:val="20"/>
        </w:rPr>
        <w:t xml:space="preserve">Sub-Contractor Assignment: Activity → Sub-Contractor (from Party List) → Agreed Rate → PO Issued (auto-creates PO record and updates sub-con ledger)</w:t>
      </w:r>
    </w:p>
    <w:p>
      <w:pPr>
        <w:pStyle w:val="ListParagraph"/>
        <w:numPr>
          <w:ilvl w:val="0"/>
          <w:numId w:val="1"/>
        </w:numPr>
        <w:spacing w:after="40" w:before="40"/>
      </w:pPr>
      <w:r>
        <w:rPr>
          <w:rFonts w:ascii="Inter" w:cs="Inter" w:eastAsia="Inter" w:hAnsi="Inter"/>
          <w:color w:val="1A2E3D"/>
          <w:sz w:val="20"/>
          <w:szCs w:val="20"/>
        </w:rPr>
        <w:t xml:space="preserve">Supplier Assignment: Material Category → Supplier (from Party List) → Quantity → Unit Price → PO Issued (updates supplier ledger)</w:t>
      </w:r>
    </w:p>
    <w:p>
      <w:pPr>
        <w:pStyle w:val="ListParagraph"/>
        <w:numPr>
          <w:ilvl w:val="0"/>
          <w:numId w:val="1"/>
        </w:numPr>
        <w:spacing w:after="40" w:before="40"/>
      </w:pPr>
      <w:r>
        <w:rPr>
          <w:rFonts w:ascii="Inter" w:cs="Inter" w:eastAsia="Inter" w:hAnsi="Inter"/>
          <w:color w:val="1A2E3D"/>
          <w:sz w:val="20"/>
          <w:szCs w:val="20"/>
        </w:rPr>
        <w:t xml:space="preserve">Multiple sub-contractors can be assigned to the same activity type on the same site (e.g., two excavation sub-cons working in parallel)</w:t>
      </w:r>
    </w:p>
    <w:p>
      <w:pPr>
        <w:spacing w:after="80" w:before="80"/>
      </w:pPr>
      <w:r>
        <w:t xml:space="preserve"/>
      </w:r>
    </w:p>
    <w:p>
      <w:pPr>
        <w:pStyle w:val="Heading2"/>
        <w:spacing w:after="120" w:before="320"/>
      </w:pPr>
      <w:r>
        <w:rPr>
          <w:rFonts w:ascii="Inter" w:cs="Inter" w:eastAsia="Inter" w:hAnsi="Inter"/>
          <w:b/>
          <w:bCs/>
          <w:color w:val="1565C0"/>
          <w:sz w:val="26"/>
          <w:szCs w:val="26"/>
        </w:rPr>
        <w:t xml:space="preserve">5.5  Budget vs Actual Dashboard (per Site Master)</w:t>
      </w:r>
    </w:p>
    <w:p>
      <w:pPr>
        <w:spacing w:after="80" w:before="60"/>
      </w:pPr>
      <w:r>
        <w:rPr>
          <w:rFonts w:ascii="Inter" w:cs="Inter" w:eastAsia="Inter" w:hAnsi="Inter"/>
          <w:color w:val="1A2E3D"/>
          <w:sz w:val="20"/>
          <w:szCs w:val="20"/>
        </w:rPr>
        <w:t xml:space="preserve">The dashboard panel in the Site Master shows a live financial position: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00"/>
      </w:tblGrid>
      <w:tr>
        <w:tc>
          <w:tcPr>
            <w:tcW w:type="dxa" w:w="3000"/>
            <w:gridSpan w:val="1"/>
            <w:shd w:fill="1A2E3D"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Item</w:t>
            </w:r>
          </w:p>
        </w:tc>
        <w:tc>
          <w:tcPr>
            <w:tcW w:type="dxa" w:w="2100"/>
            <w:gridSpan w:val="1"/>
            <w:shd w:fill="1A2E3D"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Budget</w:t>
            </w:r>
          </w:p>
        </w:tc>
        <w:tc>
          <w:tcPr>
            <w:tcW w:type="dxa" w:w="2100"/>
            <w:gridSpan w:val="1"/>
            <w:shd w:fill="1A2E3D"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Actual</w:t>
            </w:r>
          </w:p>
        </w:tc>
        <w:tc>
          <w:tcPr>
            <w:tcW w:type="dxa" w:w="2100"/>
            <w:gridSpan w:val="1"/>
            <w:shd w:fill="1A2E3D"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Variance</w:t>
            </w:r>
          </w:p>
        </w:tc>
      </w:tr>
      <w:tr>
        <w:tc>
          <w:tcPr>
            <w:tcW w:type="dxa" w:w="3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Revenue (Contractor PO)</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X</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SAR X*</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r>
      <w:tr>
        <w:tc>
          <w:tcPr>
            <w:tcW w:type="dxa" w:w="3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Total Cost</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X</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SAR X</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SAR X (Over / Under)</w:t>
            </w:r>
          </w:p>
        </w:tc>
      </w:tr>
      <w:tr>
        <w:tc>
          <w:tcPr>
            <w:tcW w:type="dxa" w:w="3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Gross Margin</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X / %</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SAR X / %</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Δ%</w:t>
            </w:r>
          </w:p>
        </w:tc>
      </w:tr>
      <w:tr>
        <w:tc>
          <w:tcPr>
            <w:tcW w:type="dxa" w:w="30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Sub-Contractor Cost</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X</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SAR X</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SAR X</w:t>
            </w:r>
          </w:p>
        </w:tc>
      </w:tr>
      <w:tr>
        <w:tc>
          <w:tcPr>
            <w:tcW w:type="dxa" w:w="30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Material Cost</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X</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SAR X</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SAR X</w:t>
            </w:r>
          </w:p>
        </w:tc>
      </w:tr>
      <w:tr>
        <w:tc>
          <w:tcPr>
            <w:tcW w:type="dxa" w:w="30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Manpower Cost</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X</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SAR X</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SAR X</w:t>
            </w:r>
          </w:p>
        </w:tc>
      </w:tr>
      <w:tr>
        <w:tc>
          <w:tcPr>
            <w:tcW w:type="dxa" w:w="30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Expenses</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SAR X</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SAR X</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SAR X</w:t>
            </w:r>
          </w:p>
        </w:tc>
      </w:tr>
      <w:tr>
        <w:tc>
          <w:tcPr>
            <w:tcW w:type="dxa" w:w="30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 Complete (Milestones)</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X of Y done</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r>
      <w:tr>
        <w:tc>
          <w:tcPr>
            <w:tcW w:type="dxa" w:w="30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Cost Burn Rate</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X% of budget used</w:t>
            </w:r>
          </w:p>
        </w:tc>
        <w:tc>
          <w:tcPr>
            <w:tcW w:type="dxa" w:w="21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Alert at 70 / 85 / 95%</w:t>
            </w:r>
          </w:p>
        </w:tc>
      </w:tr>
    </w:tbl>
    <w:p>
      <w:pPr>
        <w:spacing w:after="80" w:before="60"/>
      </w:pPr>
      <w:r>
        <w:rPr>
          <w:rFonts w:ascii="Inter" w:cs="Inter" w:eastAsia="Inter" w:hAnsi="Inter"/>
          <w:color w:val="1A2E3D"/>
          <w:sz w:val="20"/>
          <w:szCs w:val="20"/>
        </w:rPr>
        <w:t xml:space="preserve">* Revenue is only recognised as Actual when the invoice-gate milestone is completed and an invoice is raised.</w:t>
      </w:r>
    </w:p>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6.  Budget vs Actual — Detailed Framework</w:t>
      </w:r>
    </w:p>
    <w:p>
      <w:pPr>
        <w:pStyle w:val="Heading2"/>
        <w:spacing w:after="120" w:before="320"/>
      </w:pPr>
      <w:r>
        <w:rPr>
          <w:rFonts w:ascii="Inter" w:cs="Inter" w:eastAsia="Inter" w:hAnsi="Inter"/>
          <w:b/>
          <w:bCs/>
          <w:color w:val="1565C0"/>
          <w:sz w:val="26"/>
          <w:szCs w:val="26"/>
        </w:rPr>
        <w:t xml:space="preserve">6.1  Budget Entry Rules</w:t>
      </w:r>
    </w:p>
    <w:p>
      <w:pPr>
        <w:spacing w:after="80" w:before="60"/>
      </w:pPr>
      <w:r>
        <w:rPr>
          <w:rFonts w:ascii="Inter" w:cs="Inter" w:eastAsia="Inter" w:hAnsi="Inter"/>
          <w:color w:val="1A2E3D"/>
          <w:sz w:val="20"/>
          <w:szCs w:val="20"/>
        </w:rPr>
        <w:t xml:space="preserve">Budget must be entered before any cost is committed. The workflow is:</w:t>
      </w:r>
    </w:p>
    <w:p>
      <w:pPr>
        <w:pStyle w:val="ListParagraph"/>
        <w:numPr>
          <w:ilvl w:val="0"/>
          <w:numId w:val="1"/>
        </w:numPr>
        <w:spacing w:after="40" w:before="40"/>
      </w:pPr>
      <w:r>
        <w:rPr>
          <w:rFonts w:ascii="Inter" w:cs="Inter" w:eastAsia="Inter" w:hAnsi="Inter"/>
          <w:color w:val="1A2E3D"/>
          <w:sz w:val="20"/>
          <w:szCs w:val="20"/>
        </w:rPr>
        <w:t xml:space="preserve">PM / Dept Head creates Site Master immediately upon receiving the Contractor PO</w:t>
      </w:r>
    </w:p>
    <w:p>
      <w:pPr>
        <w:pStyle w:val="ListParagraph"/>
        <w:numPr>
          <w:ilvl w:val="0"/>
          <w:numId w:val="1"/>
        </w:numPr>
        <w:spacing w:after="40" w:before="40"/>
      </w:pPr>
      <w:r>
        <w:rPr>
          <w:rFonts w:ascii="Inter" w:cs="Inter" w:eastAsia="Inter" w:hAnsi="Inter"/>
          <w:color w:val="1A2E3D"/>
          <w:sz w:val="20"/>
          <w:szCs w:val="20"/>
        </w:rPr>
        <w:t xml:space="preserve">Budget is filled in within 48 hours of Site Master creation (system should warn if budget is missing after 48h)</w:t>
      </w:r>
    </w:p>
    <w:p>
      <w:pPr>
        <w:pStyle w:val="ListParagraph"/>
        <w:numPr>
          <w:ilvl w:val="0"/>
          <w:numId w:val="1"/>
        </w:numPr>
        <w:spacing w:after="40" w:before="40"/>
      </w:pPr>
      <w:r>
        <w:rPr>
          <w:rFonts w:ascii="Inter" w:cs="Inter" w:eastAsia="Inter" w:hAnsi="Inter"/>
          <w:color w:val="1A2E3D"/>
          <w:sz w:val="20"/>
          <w:szCs w:val="20"/>
        </w:rPr>
        <w:t xml:space="preserve">Budget requires approval (Dept Head + Finance sign-off) before sub-con POs can be raised against this Site Master</w:t>
      </w:r>
    </w:p>
    <w:p>
      <w:pPr>
        <w:pStyle w:val="ListParagraph"/>
        <w:numPr>
          <w:ilvl w:val="0"/>
          <w:numId w:val="1"/>
        </w:numPr>
        <w:spacing w:after="40" w:before="40"/>
      </w:pPr>
      <w:r>
        <w:rPr>
          <w:rFonts w:ascii="Inter" w:cs="Inter" w:eastAsia="Inter" w:hAnsi="Inter"/>
          <w:color w:val="1A2E3D"/>
          <w:sz w:val="20"/>
          <w:szCs w:val="20"/>
        </w:rPr>
        <w:t xml:space="preserve">Budget amendments are allowed but must be approved and version-tracked</w:t>
      </w:r>
    </w:p>
    <w:p>
      <w:pPr>
        <w:pStyle w:val="Heading2"/>
        <w:spacing w:after="120" w:before="320"/>
      </w:pPr>
      <w:r>
        <w:rPr>
          <w:rFonts w:ascii="Inter" w:cs="Inter" w:eastAsia="Inter" w:hAnsi="Inter"/>
          <w:b/>
          <w:bCs/>
          <w:color w:val="1565C0"/>
          <w:sz w:val="26"/>
          <w:szCs w:val="26"/>
        </w:rPr>
        <w:t xml:space="preserve">6.2  What Feeds the Actual</w:t>
      </w:r>
    </w:p>
    <w:p>
      <w:pPr>
        <w:spacing w:after="80" w:before="60"/>
      </w:pPr>
      <w:r>
        <w:rPr>
          <w:rFonts w:ascii="Inter" w:cs="Inter" w:eastAsia="Inter" w:hAnsi="Inter"/>
          <w:color w:val="1A2E3D"/>
          <w:sz w:val="20"/>
          <w:szCs w:val="20"/>
        </w:rPr>
        <w:t xml:space="preserve">Every transaction in the system that can be linked to a Site Master must carry that reference. The actual cost accumulates from: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00"/>
      </w:tblGrid>
      <w:tr>
        <w:tc>
          <w:tcPr>
            <w:tcW w:type="dxa" w:w="2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Source</w:t>
            </w:r>
          </w:p>
        </w:tc>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How It Links</w:t>
            </w:r>
          </w:p>
        </w:tc>
        <w:tc>
          <w:tcPr>
            <w:tcW w:type="dxa" w:w="4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Timing</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Sub-Contractor PO</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field on PO form</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Committed on PO issue; updated on each payment</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Supplier PO</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field on PO form</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Committed on PO issue; updated on delivery receipt + payment</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Expense Claims</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field on Expense form</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At submission; weighted into actual on approval</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Overtime</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field on OT form</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On approval; labour cost = hours × rate × multiplier</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Food Allowance</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field on FA form</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On approval; daily rate × days allocated to this SM</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Payroll Allocation</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Timesheet / Labour Allocation</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Monthly; % of engineer salary × days on this SM</w:t>
            </w:r>
          </w:p>
        </w:tc>
      </w:tr>
      <w:tr>
        <w:tc>
          <w:tcPr>
            <w:tcW w:type="dxa" w:w="26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Money Requests</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field on MR form</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On Finance approval; linked to specific site cash advance</w:t>
            </w:r>
          </w:p>
        </w:tc>
      </w:tr>
    </w:tbl>
    <w:p>
      <w:pPr>
        <w:spacing w:after="80" w:before="80"/>
      </w:pPr>
      <w:r>
        <w:t xml:space="preserve"/>
      </w:r>
    </w:p>
    <w:p>
      <w:pPr>
        <w:pStyle w:val="Heading2"/>
        <w:spacing w:after="120" w:before="320"/>
      </w:pPr>
      <w:r>
        <w:rPr>
          <w:rFonts w:ascii="Inter" w:cs="Inter" w:eastAsia="Inter" w:hAnsi="Inter"/>
          <w:b/>
          <w:bCs/>
          <w:color w:val="1565C0"/>
          <w:sz w:val="26"/>
          <w:szCs w:val="26"/>
        </w:rPr>
        <w:t xml:space="preserve">6.3  Alert Thresholds — Traffic Light System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00"/>
      </w:tblGrid>
      <w:tr>
        <w:tc>
          <w:tcPr>
            <w:tcW w:type="dxa" w:w="1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Signal</w:t>
            </w:r>
          </w:p>
        </w:tc>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Trigger</w:t>
            </w:r>
          </w:p>
        </w:tc>
        <w:tc>
          <w:tcPr>
            <w:tcW w:type="dxa" w:w="5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Action</w:t>
            </w:r>
          </w:p>
        </w:tc>
      </w:tr>
      <w:tr>
        <w:tc>
          <w:tcPr>
            <w:tcW w:type="dxa" w:w="1600"/>
            <w:gridSpan w:val="1"/>
            <w:shd w:fill="E8F5E9" w:color="auto" w:val="clear"/>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  GREEN</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Actual &lt; 70% of Budget</w:t>
            </w:r>
          </w:p>
        </w:tc>
        <w:tc>
          <w:tcPr>
            <w:tcW w:type="dxa" w:w="5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Normal. No action required. Site is within budget trajectory.</w:t>
            </w:r>
          </w:p>
        </w:tc>
      </w:tr>
      <w:tr>
        <w:tc>
          <w:tcPr>
            <w:tcW w:type="dxa" w:w="1600"/>
            <w:gridSpan w:val="1"/>
            <w:shd w:fill="FFF8E1" w:color="auto" w:val="clear"/>
            <w:tcMar>
              <w:top w:type="dxa" w:w="60"/>
              <w:left w:type="dxa" w:w="80"/>
              <w:bottom w:type="dxa" w:w="60"/>
              <w:right w:type="dxa" w:w="80"/>
            </w:tcMar>
            <w:vAlign w:val="center"/>
          </w:tcPr>
          <w:p>
            <w:pPr>
              <w:jc w:val="left"/>
            </w:pPr>
            <w:r>
              <w:rPr>
                <w:rFonts w:ascii="Inter" w:cs="Inter" w:eastAsia="Inter" w:hAnsi="Inter"/>
                <w:b/>
                <w:bCs/>
                <w:color w:val="E65100"/>
                <w:sz w:val="18"/>
                <w:szCs w:val="18"/>
              </w:rPr>
              <w:t xml:space="preserve">🟡  AMBER</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Actual 70–85% of Budget</w:t>
            </w:r>
          </w:p>
        </w:tc>
        <w:tc>
          <w:tcPr>
            <w:tcW w:type="dxa" w:w="5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PM is alerted. Review remaining milestone costs. Consider whether sub-con rates need renegotiation.</w:t>
            </w:r>
          </w:p>
        </w:tc>
      </w:tr>
      <w:tr>
        <w:tc>
          <w:tcPr>
            <w:tcW w:type="dxa" w:w="1600"/>
            <w:gridSpan w:val="1"/>
            <w:shd w:fill="FFF3E0" w:color="auto" w:val="clear"/>
            <w:tcMar>
              <w:top w:type="dxa" w:w="60"/>
              <w:left w:type="dxa" w:w="80"/>
              <w:bottom w:type="dxa" w:w="60"/>
              <w:right w:type="dxa" w:w="80"/>
            </w:tcMar>
            <w:vAlign w:val="center"/>
          </w:tcPr>
          <w:p>
            <w:pPr>
              <w:jc w:val="left"/>
            </w:pPr>
            <w:r>
              <w:rPr>
                <w:rFonts w:ascii="Inter" w:cs="Inter" w:eastAsia="Inter" w:hAnsi="Inter"/>
                <w:b/>
                <w:bCs/>
                <w:color w:val="BF360C"/>
                <w:sz w:val="18"/>
                <w:szCs w:val="18"/>
              </w:rPr>
              <w:t xml:space="preserve">🟠  ORANGE</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Actual 85–95% of Budget</w:t>
            </w:r>
          </w:p>
        </w:tc>
        <w:tc>
          <w:tcPr>
            <w:tcW w:type="dxa" w:w="5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Department Head alerted. Budget amendment process triggered. No new POs without Head approval.</w:t>
            </w:r>
          </w:p>
        </w:tc>
      </w:tr>
      <w:tr>
        <w:tc>
          <w:tcPr>
            <w:tcW w:type="dxa" w:w="1600"/>
            <w:gridSpan w:val="1"/>
            <w:shd w:fill="FFEBEE" w:color="auto" w:val="clear"/>
            <w:tcMar>
              <w:top w:type="dxa" w:w="60"/>
              <w:left w:type="dxa" w:w="80"/>
              <w:bottom w:type="dxa" w:w="60"/>
              <w:right w:type="dxa" w:w="80"/>
            </w:tcMar>
            <w:vAlign w:val="center"/>
          </w:tcPr>
          <w:p>
            <w:pPr>
              <w:jc w:val="left"/>
            </w:pPr>
            <w:r>
              <w:rPr>
                <w:rFonts w:ascii="Inter" w:cs="Inter" w:eastAsia="Inter" w:hAnsi="Inter"/>
                <w:b/>
                <w:bCs/>
                <w:color w:val="C62828"/>
                <w:sz w:val="18"/>
                <w:szCs w:val="18"/>
              </w:rPr>
              <w:t xml:space="preserve">🔴  RED</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Actual ≥ 95% of Budget</w:t>
            </w:r>
          </w:p>
        </w:tc>
        <w:tc>
          <w:tcPr>
            <w:tcW w:type="dxa" w:w="5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Finance Director alerted. Site is at risk of loss. Immediate review. PO issuance blocked until resolved.</w:t>
            </w:r>
          </w:p>
        </w:tc>
      </w:tr>
      <w:tr>
        <w:tc>
          <w:tcPr>
            <w:tcW w:type="dxa" w:w="1600"/>
            <w:gridSpan w:val="1"/>
            <w:shd w:fill="EEEEEE" w:color="auto" w:val="clear"/>
            <w:tcMar>
              <w:top w:type="dxa" w:w="60"/>
              <w:left w:type="dxa" w:w="80"/>
              <w:bottom w:type="dxa" w:w="60"/>
              <w:right w:type="dxa" w:w="80"/>
            </w:tcMar>
            <w:vAlign w:val="center"/>
          </w:tcPr>
          <w:p>
            <w:pPr>
              <w:jc w:val="left"/>
            </w:pPr>
            <w:r>
              <w:rPr>
                <w:rFonts w:ascii="Inter" w:cs="Inter" w:eastAsia="Inter" w:hAnsi="Inter"/>
                <w:b/>
                <w:bCs/>
                <w:color w:val="212121"/>
                <w:sz w:val="18"/>
                <w:szCs w:val="18"/>
              </w:rPr>
              <w:t xml:space="preserve">⚫  CRITICAL</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Actual &gt; Budget</w:t>
            </w:r>
          </w:p>
        </w:tc>
        <w:tc>
          <w:tcPr>
            <w:tcW w:type="dxa" w:w="5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Loss-making site. Management escalation. Contractor PO variation claim to be explored. All costs require GM approval.</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7.  Enhancement Inputs &amp; Recommendations</w:t>
      </w:r>
    </w:p>
    <w:p>
      <w:pPr>
        <w:pStyle w:val="Heading2"/>
        <w:spacing w:after="120" w:before="320"/>
      </w:pPr>
      <w:r>
        <w:rPr>
          <w:rFonts w:ascii="Inter" w:cs="Inter" w:eastAsia="Inter" w:hAnsi="Inter"/>
          <w:b/>
          <w:bCs/>
          <w:color w:val="1565C0"/>
          <w:sz w:val="26"/>
          <w:szCs w:val="26"/>
        </w:rPr>
        <w:t xml:space="preserve">7.1  Milestone-Gated Invoicing</w:t>
      </w:r>
    </w:p>
    <w:p>
      <w:pPr>
        <w:spacing w:after="80" w:before="60"/>
      </w:pPr>
      <w:r>
        <w:rPr>
          <w:rFonts w:ascii="Inter" w:cs="Inter" w:eastAsia="Inter" w:hAnsi="Inter"/>
          <w:color w:val="1A2E3D"/>
          <w:sz w:val="20"/>
          <w:szCs w:val="20"/>
        </w:rPr>
        <w:t xml:space="preserve">The current model assumes invoicing happens after document approval. The system should enforce this automatically:</w:t>
      </w:r>
    </w:p>
    <w:p>
      <w:pPr>
        <w:pStyle w:val="ListParagraph"/>
        <w:numPr>
          <w:ilvl w:val="0"/>
          <w:numId w:val="1"/>
        </w:numPr>
        <w:spacing w:after="40" w:before="40"/>
      </w:pPr>
      <w:r>
        <w:rPr>
          <w:rFonts w:ascii="Inter" w:cs="Inter" w:eastAsia="Inter" w:hAnsi="Inter"/>
          <w:color w:val="1A2E3D"/>
          <w:sz w:val="20"/>
          <w:szCs w:val="20"/>
        </w:rPr>
        <w:t xml:space="preserve">Each Service Unit has a set of invoice-gate milestones (e.g., Document Approval for NISU, Handover for TISU).</w:t>
      </w:r>
    </w:p>
    <w:p>
      <w:pPr>
        <w:pStyle w:val="ListParagraph"/>
        <w:numPr>
          <w:ilvl w:val="0"/>
          <w:numId w:val="1"/>
        </w:numPr>
        <w:spacing w:after="40" w:before="40"/>
      </w:pPr>
      <w:r>
        <w:rPr>
          <w:rFonts w:ascii="Inter" w:cs="Inter" w:eastAsia="Inter" w:hAnsi="Inter"/>
          <w:color w:val="1A2E3D"/>
          <w:sz w:val="20"/>
          <w:szCs w:val="20"/>
        </w:rPr>
        <w:t xml:space="preserve">The system blocks invoice creation against a Site Master until all gate milestones show status "Done" with a document uploaded.</w:t>
      </w:r>
    </w:p>
    <w:p>
      <w:pPr>
        <w:pStyle w:val="ListParagraph"/>
        <w:numPr>
          <w:ilvl w:val="0"/>
          <w:numId w:val="1"/>
        </w:numPr>
        <w:spacing w:after="40" w:before="40"/>
      </w:pPr>
      <w:r>
        <w:rPr>
          <w:rFonts w:ascii="Inter" w:cs="Inter" w:eastAsia="Inter" w:hAnsi="Inter"/>
          <w:color w:val="1A2E3D"/>
          <w:sz w:val="20"/>
          <w:szCs w:val="20"/>
        </w:rPr>
        <w:t xml:space="preserve">This eliminates the risk of billing before delivery completion and prevents contractor disputes.</w:t>
      </w:r>
    </w:p>
    <w:p>
      <w:pPr>
        <w:pStyle w:val="Heading2"/>
        <w:spacing w:after="120" w:before="320"/>
      </w:pPr>
      <w:r>
        <w:rPr>
          <w:rFonts w:ascii="Inter" w:cs="Inter" w:eastAsia="Inter" w:hAnsi="Inter"/>
          <w:b/>
          <w:bCs/>
          <w:color w:val="1565C0"/>
          <w:sz w:val="26"/>
          <w:szCs w:val="26"/>
        </w:rPr>
        <w:t xml:space="preserve">7.2  Sub-Contractor Performance Rating</w:t>
      </w:r>
    </w:p>
    <w:p>
      <w:pPr>
        <w:spacing w:after="80" w:before="60"/>
      </w:pPr>
      <w:r>
        <w:rPr>
          <w:rFonts w:ascii="Inter" w:cs="Inter" w:eastAsia="Inter" w:hAnsi="Inter"/>
          <w:color w:val="1A2E3D"/>
          <w:sz w:val="20"/>
          <w:szCs w:val="20"/>
        </w:rPr>
        <w:t xml:space="preserve">Given the pool model (5–10 sub-cons per activity), Ratal needs a basis for choosing which sub-con to engage:</w:t>
      </w:r>
    </w:p>
    <w:p>
      <w:pPr>
        <w:pStyle w:val="ListParagraph"/>
        <w:numPr>
          <w:ilvl w:val="0"/>
          <w:numId w:val="1"/>
        </w:numPr>
        <w:spacing w:after="40" w:before="40"/>
      </w:pPr>
      <w:r>
        <w:rPr>
          <w:rFonts w:ascii="Inter" w:cs="Inter" w:eastAsia="Inter" w:hAnsi="Inter"/>
          <w:color w:val="1A2E3D"/>
          <w:sz w:val="20"/>
          <w:szCs w:val="20"/>
        </w:rPr>
        <w:t xml:space="preserve">After each site is completed, the PM rates the sub-contractor on Quality, Timeliness, Safety, and Pricing.</w:t>
      </w:r>
    </w:p>
    <w:p>
      <w:pPr>
        <w:pStyle w:val="ListParagraph"/>
        <w:numPr>
          <w:ilvl w:val="0"/>
          <w:numId w:val="1"/>
        </w:numPr>
        <w:spacing w:after="40" w:before="40"/>
      </w:pPr>
      <w:r>
        <w:rPr>
          <w:rFonts w:ascii="Inter" w:cs="Inter" w:eastAsia="Inter" w:hAnsi="Inter"/>
          <w:color w:val="1A2E3D"/>
          <w:sz w:val="20"/>
          <w:szCs w:val="20"/>
        </w:rPr>
        <w:t xml:space="preserve">Ratings accumulate into a performance score visible when assigning sub-cons to a new Site Master.</w:t>
      </w:r>
    </w:p>
    <w:p>
      <w:pPr>
        <w:pStyle w:val="ListParagraph"/>
        <w:numPr>
          <w:ilvl w:val="0"/>
          <w:numId w:val="1"/>
        </w:numPr>
        <w:spacing w:after="40" w:before="40"/>
      </w:pPr>
      <w:r>
        <w:rPr>
          <w:rFonts w:ascii="Inter" w:cs="Inter" w:eastAsia="Inter" w:hAnsi="Inter"/>
          <w:color w:val="1A2E3D"/>
          <w:sz w:val="20"/>
          <w:szCs w:val="20"/>
        </w:rPr>
        <w:t xml:space="preserve">Poor performers can be flagged or blocked from future assignments.</w:t>
      </w:r>
    </w:p>
    <w:p>
      <w:pPr>
        <w:pStyle w:val="ListParagraph"/>
        <w:numPr>
          <w:ilvl w:val="0"/>
          <w:numId w:val="1"/>
        </w:numPr>
        <w:spacing w:after="40" w:before="40"/>
      </w:pPr>
      <w:r>
        <w:rPr>
          <w:rFonts w:ascii="Inter" w:cs="Inter" w:eastAsia="Inter" w:hAnsi="Inter"/>
          <w:color w:val="1A2E3D"/>
          <w:sz w:val="20"/>
          <w:szCs w:val="20"/>
        </w:rPr>
        <w:t xml:space="preserve">This data also supports renegotiation leverage at contract renewal time.</w:t>
      </w:r>
    </w:p>
    <w:p>
      <w:pPr>
        <w:pStyle w:val="Heading2"/>
        <w:spacing w:after="120" w:before="320"/>
      </w:pPr>
      <w:r>
        <w:rPr>
          <w:rFonts w:ascii="Inter" w:cs="Inter" w:eastAsia="Inter" w:hAnsi="Inter"/>
          <w:b/>
          <w:bCs/>
          <w:color w:val="1565C0"/>
          <w:sz w:val="26"/>
          <w:szCs w:val="26"/>
        </w:rPr>
        <w:t xml:space="preserve">7.3  Material Quantity Tracking (not just cost)</w:t>
      </w:r>
    </w:p>
    <w:p>
      <w:pPr>
        <w:spacing w:after="80" w:before="60"/>
      </w:pPr>
      <w:r>
        <w:rPr>
          <w:rFonts w:ascii="Inter" w:cs="Inter" w:eastAsia="Inter" w:hAnsi="Inter"/>
          <w:color w:val="1A2E3D"/>
          <w:sz w:val="20"/>
          <w:szCs w:val="20"/>
        </w:rPr>
        <w:t xml:space="preserve">For NISU and TISU, over-ordering passive materials is a silent margin killer:</w:t>
      </w:r>
    </w:p>
    <w:p>
      <w:pPr>
        <w:pStyle w:val="ListParagraph"/>
        <w:numPr>
          <w:ilvl w:val="0"/>
          <w:numId w:val="1"/>
        </w:numPr>
        <w:spacing w:after="40" w:before="40"/>
      </w:pPr>
      <w:r>
        <w:rPr>
          <w:rFonts w:ascii="Inter" w:cs="Inter" w:eastAsia="Inter" w:hAnsi="Inter"/>
          <w:color w:val="1A2E3D"/>
          <w:sz w:val="20"/>
          <w:szCs w:val="20"/>
        </w:rPr>
        <w:t xml:space="preserve">Budget should capture both quantity and unit price (e.g., 8,000 m of 35mm cable @ SAR 23).</w:t>
      </w:r>
    </w:p>
    <w:p>
      <w:pPr>
        <w:pStyle w:val="ListParagraph"/>
        <w:numPr>
          <w:ilvl w:val="0"/>
          <w:numId w:val="1"/>
        </w:numPr>
        <w:spacing w:after="40" w:before="40"/>
      </w:pPr>
      <w:r>
        <w:rPr>
          <w:rFonts w:ascii="Inter" w:cs="Inter" w:eastAsia="Inter" w:hAnsi="Inter"/>
          <w:color w:val="1A2E3D"/>
          <w:sz w:val="20"/>
          <w:szCs w:val="20"/>
        </w:rPr>
        <w:t xml:space="preserve">Supplier POs carry quantity; goods receipt records actual quantity delivered.</w:t>
      </w:r>
    </w:p>
    <w:p>
      <w:pPr>
        <w:pStyle w:val="ListParagraph"/>
        <w:numPr>
          <w:ilvl w:val="0"/>
          <w:numId w:val="1"/>
        </w:numPr>
        <w:spacing w:after="40" w:before="40"/>
      </w:pPr>
      <w:r>
        <w:rPr>
          <w:rFonts w:ascii="Inter" w:cs="Inter" w:eastAsia="Inter" w:hAnsi="Inter"/>
          <w:color w:val="1A2E3D"/>
          <w:sz w:val="20"/>
          <w:szCs w:val="20"/>
        </w:rPr>
        <w:t xml:space="preserve">Wastage = Ordered Quantity − Installed Quantity. Tracked per site.</w:t>
      </w:r>
    </w:p>
    <w:p>
      <w:pPr>
        <w:pStyle w:val="ListParagraph"/>
        <w:numPr>
          <w:ilvl w:val="0"/>
          <w:numId w:val="1"/>
        </w:numPr>
        <w:spacing w:after="40" w:before="40"/>
      </w:pPr>
      <w:r>
        <w:rPr>
          <w:rFonts w:ascii="Inter" w:cs="Inter" w:eastAsia="Inter" w:hAnsi="Inter"/>
          <w:color w:val="1A2E3D"/>
          <w:sz w:val="20"/>
          <w:szCs w:val="20"/>
        </w:rPr>
        <w:t xml:space="preserve">Accumulated wastage across sites becomes a procurement efficiency KPI.</w:t>
      </w:r>
    </w:p>
    <w:p>
      <w:pPr>
        <w:pStyle w:val="Heading2"/>
        <w:spacing w:after="120" w:before="320"/>
      </w:pPr>
      <w:r>
        <w:rPr>
          <w:rFonts w:ascii="Inter" w:cs="Inter" w:eastAsia="Inter" w:hAnsi="Inter"/>
          <w:b/>
          <w:bCs/>
          <w:color w:val="1565C0"/>
          <w:sz w:val="26"/>
          <w:szCs w:val="26"/>
        </w:rPr>
        <w:t xml:space="preserve">7.4  Cashflow Projection per Site</w:t>
      </w:r>
    </w:p>
    <w:p>
      <w:pPr>
        <w:spacing w:after="80" w:before="60"/>
      </w:pPr>
      <w:r>
        <w:rPr>
          <w:rFonts w:ascii="Inter" w:cs="Inter" w:eastAsia="Inter" w:hAnsi="Inter"/>
          <w:color w:val="1A2E3D"/>
          <w:sz w:val="20"/>
          <w:szCs w:val="20"/>
        </w:rPr>
        <w:t xml:space="preserve">The Contractor pays against milestones (or monthly progress claims). Ratal pays sub-cons and suppliers on their own payment terms. This creates a cashflow gap:</w:t>
      </w:r>
    </w:p>
    <w:p>
      <w:pPr>
        <w:pStyle w:val="ListParagraph"/>
        <w:numPr>
          <w:ilvl w:val="0"/>
          <w:numId w:val="1"/>
        </w:numPr>
        <w:spacing w:after="40" w:before="40"/>
      </w:pPr>
      <w:r>
        <w:rPr>
          <w:rFonts w:ascii="Inter" w:cs="Inter" w:eastAsia="Inter" w:hAnsi="Inter"/>
          <w:color w:val="1A2E3D"/>
          <w:sz w:val="20"/>
          <w:szCs w:val="20"/>
        </w:rPr>
        <w:t xml:space="preserve">System should project: expected invoice date (from milestone plan) vs expected payment receipt (based on contractor payment terms).</w:t>
      </w:r>
    </w:p>
    <w:p>
      <w:pPr>
        <w:pStyle w:val="ListParagraph"/>
        <w:numPr>
          <w:ilvl w:val="0"/>
          <w:numId w:val="1"/>
        </w:numPr>
        <w:spacing w:after="40" w:before="40"/>
      </w:pPr>
      <w:r>
        <w:rPr>
          <w:rFonts w:ascii="Inter" w:cs="Inter" w:eastAsia="Inter" w:hAnsi="Inter"/>
          <w:color w:val="1A2E3D"/>
          <w:sz w:val="20"/>
          <w:szCs w:val="20"/>
        </w:rPr>
        <w:t xml:space="preserve">Against this: sub-con and supplier PO payment due dates (from agreed payment terms).</w:t>
      </w:r>
    </w:p>
    <w:p>
      <w:pPr>
        <w:pStyle w:val="ListParagraph"/>
        <w:numPr>
          <w:ilvl w:val="0"/>
          <w:numId w:val="1"/>
        </w:numPr>
        <w:spacing w:after="40" w:before="40"/>
      </w:pPr>
      <w:r>
        <w:rPr>
          <w:rFonts w:ascii="Inter" w:cs="Inter" w:eastAsia="Inter" w:hAnsi="Inter"/>
          <w:color w:val="1A2E3D"/>
          <w:sz w:val="20"/>
          <w:szCs w:val="20"/>
        </w:rPr>
        <w:t xml:space="preserve">The gap = the cashflow exposure for that site. Aggregate across all active sites = company-level cashflow requirement.</w:t>
      </w:r>
    </w:p>
    <w:p>
      <w:pPr>
        <w:pStyle w:val="Heading2"/>
        <w:spacing w:after="120" w:before="320"/>
      </w:pPr>
      <w:r>
        <w:rPr>
          <w:rFonts w:ascii="Inter" w:cs="Inter" w:eastAsia="Inter" w:hAnsi="Inter"/>
          <w:b/>
          <w:bCs/>
          <w:color w:val="1565C0"/>
          <w:sz w:val="26"/>
          <w:szCs w:val="26"/>
        </w:rPr>
        <w:t xml:space="preserve">7.5  Variation Order (VO) Tracking</w:t>
      </w:r>
    </w:p>
    <w:p>
      <w:pPr>
        <w:spacing w:after="80" w:before="60"/>
      </w:pPr>
      <w:r>
        <w:rPr>
          <w:rFonts w:ascii="Inter" w:cs="Inter" w:eastAsia="Inter" w:hAnsi="Inter"/>
          <w:color w:val="1A2E3D"/>
          <w:sz w:val="20"/>
          <w:szCs w:val="20"/>
        </w:rPr>
        <w:t xml:space="preserve">Scope changes are common in telecom projects. When a Contractor issues a Variation Order:</w:t>
      </w:r>
    </w:p>
    <w:p>
      <w:pPr>
        <w:pStyle w:val="ListParagraph"/>
        <w:numPr>
          <w:ilvl w:val="0"/>
          <w:numId w:val="1"/>
        </w:numPr>
        <w:spacing w:after="40" w:before="40"/>
      </w:pPr>
      <w:r>
        <w:rPr>
          <w:rFonts w:ascii="Inter" w:cs="Inter" w:eastAsia="Inter" w:hAnsi="Inter"/>
          <w:color w:val="1A2E3D"/>
          <w:sz w:val="20"/>
          <w:szCs w:val="20"/>
        </w:rPr>
        <w:t xml:space="preserve">A VO creates a new budget line (additional revenue) against the existing Site Master.</w:t>
      </w:r>
    </w:p>
    <w:p>
      <w:pPr>
        <w:pStyle w:val="ListParagraph"/>
        <w:numPr>
          <w:ilvl w:val="0"/>
          <w:numId w:val="1"/>
        </w:numPr>
        <w:spacing w:after="40" w:before="40"/>
      </w:pPr>
      <w:r>
        <w:rPr>
          <w:rFonts w:ascii="Inter" w:cs="Inter" w:eastAsia="Inter" w:hAnsi="Inter"/>
          <w:color w:val="1A2E3D"/>
          <w:sz w:val="20"/>
          <w:szCs w:val="20"/>
        </w:rPr>
        <w:t xml:space="preserve">A revised contractor PO must be linked.</w:t>
      </w:r>
    </w:p>
    <w:p>
      <w:pPr>
        <w:pStyle w:val="ListParagraph"/>
        <w:numPr>
          <w:ilvl w:val="0"/>
          <w:numId w:val="1"/>
        </w:numPr>
        <w:spacing w:after="40" w:before="40"/>
      </w:pPr>
      <w:r>
        <w:rPr>
          <w:rFonts w:ascii="Inter" w:cs="Inter" w:eastAsia="Inter" w:hAnsi="Inter"/>
          <w:color w:val="1A2E3D"/>
          <w:sz w:val="20"/>
          <w:szCs w:val="20"/>
        </w:rPr>
        <w:t xml:space="preserve">Budget vs Actual resets to show original scope + VO scope separately for audit clarity.</w:t>
      </w:r>
    </w:p>
    <w:p>
      <w:pPr>
        <w:pStyle w:val="Heading2"/>
        <w:spacing w:after="120" w:before="320"/>
      </w:pPr>
      <w:r>
        <w:rPr>
          <w:rFonts w:ascii="Inter" w:cs="Inter" w:eastAsia="Inter" w:hAnsi="Inter"/>
          <w:b/>
          <w:bCs/>
          <w:color w:val="1565C0"/>
          <w:sz w:val="26"/>
          <w:szCs w:val="26"/>
        </w:rPr>
        <w:t xml:space="preserve">7.6  Resource Conflict Detection (ITSU)</w:t>
      </w:r>
    </w:p>
    <w:p>
      <w:pPr>
        <w:spacing w:after="80" w:before="60"/>
      </w:pPr>
      <w:r>
        <w:rPr>
          <w:rFonts w:ascii="Inter" w:cs="Inter" w:eastAsia="Inter" w:hAnsi="Inter"/>
          <w:color w:val="1A2E3D"/>
          <w:sz w:val="20"/>
          <w:szCs w:val="20"/>
        </w:rPr>
        <w:t xml:space="preserve">For ITSU, where engineers are shared across projects:</w:t>
      </w:r>
    </w:p>
    <w:p>
      <w:pPr>
        <w:pStyle w:val="ListParagraph"/>
        <w:numPr>
          <w:ilvl w:val="0"/>
          <w:numId w:val="1"/>
        </w:numPr>
        <w:spacing w:after="40" w:before="40"/>
      </w:pPr>
      <w:r>
        <w:rPr>
          <w:rFonts w:ascii="Inter" w:cs="Inter" w:eastAsia="Inter" w:hAnsi="Inter"/>
          <w:color w:val="1A2E3D"/>
          <w:sz w:val="20"/>
          <w:szCs w:val="20"/>
        </w:rPr>
        <w:t xml:space="preserve">When an engineer is assigned to a Site Master task, the system checks their calendar for conflicts.</w:t>
      </w:r>
    </w:p>
    <w:p>
      <w:pPr>
        <w:pStyle w:val="ListParagraph"/>
        <w:numPr>
          <w:ilvl w:val="0"/>
          <w:numId w:val="1"/>
        </w:numPr>
        <w:spacing w:after="40" w:before="40"/>
      </w:pPr>
      <w:r>
        <w:rPr>
          <w:rFonts w:ascii="Inter" w:cs="Inter" w:eastAsia="Inter" w:hAnsi="Inter"/>
          <w:color w:val="1A2E3D"/>
          <w:sz w:val="20"/>
          <w:szCs w:val="20"/>
        </w:rPr>
        <w:t xml:space="preserve">Double-booking raises an alert to the Resource Manager.</w:t>
      </w:r>
    </w:p>
    <w:p>
      <w:pPr>
        <w:pStyle w:val="ListParagraph"/>
        <w:numPr>
          <w:ilvl w:val="0"/>
          <w:numId w:val="1"/>
        </w:numPr>
        <w:spacing w:after="40" w:before="40"/>
      </w:pPr>
      <w:r>
        <w:rPr>
          <w:rFonts w:ascii="Inter" w:cs="Inter" w:eastAsia="Inter" w:hAnsi="Inter"/>
          <w:color w:val="1A2E3D"/>
          <w:sz w:val="20"/>
          <w:szCs w:val="20"/>
        </w:rPr>
        <w:t xml:space="preserve">Utilisation rate per engineer is tracked: billing hours vs available hours.</w:t>
      </w:r>
    </w:p>
    <w:p>
      <w:pPr>
        <w:pStyle w:val="Heading2"/>
        <w:spacing w:after="120" w:before="320"/>
      </w:pPr>
      <w:r>
        <w:rPr>
          <w:rFonts w:ascii="Inter" w:cs="Inter" w:eastAsia="Inter" w:hAnsi="Inter"/>
          <w:b/>
          <w:bCs/>
          <w:color w:val="1565C0"/>
          <w:sz w:val="26"/>
          <w:szCs w:val="26"/>
        </w:rPr>
        <w:t xml:space="preserve">7.7  PAT Document Repository</w:t>
      </w:r>
    </w:p>
    <w:p>
      <w:pPr>
        <w:spacing w:after="80" w:before="60"/>
      </w:pPr>
      <w:r>
        <w:rPr>
          <w:rFonts w:ascii="Inter" w:cs="Inter" w:eastAsia="Inter" w:hAnsi="Inter"/>
          <w:color w:val="1A2E3D"/>
          <w:sz w:val="20"/>
          <w:szCs w:val="20"/>
        </w:rPr>
        <w:t xml:space="preserve">PAT completion is the critical gate for invoicing in NISU and TISU. Documents must be managed:</w:t>
      </w:r>
    </w:p>
    <w:p>
      <w:pPr>
        <w:pStyle w:val="ListParagraph"/>
        <w:numPr>
          <w:ilvl w:val="0"/>
          <w:numId w:val="1"/>
        </w:numPr>
        <w:spacing w:after="40" w:before="40"/>
      </w:pPr>
      <w:r>
        <w:rPr>
          <w:rFonts w:ascii="Inter" w:cs="Inter" w:eastAsia="Inter" w:hAnsi="Inter"/>
          <w:color w:val="1A2E3D"/>
          <w:sz w:val="20"/>
          <w:szCs w:val="20"/>
        </w:rPr>
        <w:t xml:space="preserve">Each Site Master has a document folder with required document types per milestone.</w:t>
      </w:r>
    </w:p>
    <w:p>
      <w:pPr>
        <w:pStyle w:val="ListParagraph"/>
        <w:numPr>
          <w:ilvl w:val="0"/>
          <w:numId w:val="1"/>
        </w:numPr>
        <w:spacing w:after="40" w:before="40"/>
      </w:pPr>
      <w:r>
        <w:rPr>
          <w:rFonts w:ascii="Inter" w:cs="Inter" w:eastAsia="Inter" w:hAnsi="Inter"/>
          <w:color w:val="1A2E3D"/>
          <w:sz w:val="20"/>
          <w:szCs w:val="20"/>
        </w:rPr>
        <w:t xml:space="preserve">Required documents: PAT certificate, handover letter, as-built drawings, test reports, authority approvals.</w:t>
      </w:r>
    </w:p>
    <w:p>
      <w:pPr>
        <w:pStyle w:val="ListParagraph"/>
        <w:numPr>
          <w:ilvl w:val="0"/>
          <w:numId w:val="1"/>
        </w:numPr>
        <w:spacing w:after="40" w:before="40"/>
      </w:pPr>
      <w:r>
        <w:rPr>
          <w:rFonts w:ascii="Inter" w:cs="Inter" w:eastAsia="Inter" w:hAnsi="Inter"/>
          <w:color w:val="1A2E3D"/>
          <w:sz w:val="20"/>
          <w:szCs w:val="20"/>
        </w:rPr>
        <w:t xml:space="preserve">A milestone cannot be marked "Done" without at least one document uploaded against it.</w:t>
      </w:r>
    </w:p>
    <w:p>
      <w:pPr>
        <w:pStyle w:val="ListParagraph"/>
        <w:numPr>
          <w:ilvl w:val="0"/>
          <w:numId w:val="1"/>
        </w:numPr>
        <w:spacing w:after="40" w:before="40"/>
      </w:pPr>
      <w:r>
        <w:rPr>
          <w:rFonts w:ascii="Inter" w:cs="Inter" w:eastAsia="Inter" w:hAnsi="Inter"/>
          <w:color w:val="1A2E3D"/>
          <w:sz w:val="20"/>
          <w:szCs w:val="20"/>
        </w:rPr>
        <w:t xml:space="preserve">Documents are visible to Finance before raising an invoice.</w:t>
      </w:r>
    </w:p>
    <w:p>
      <w:pPr>
        <w:pStyle w:val="Heading2"/>
        <w:spacing w:after="120" w:before="320"/>
      </w:pPr>
      <w:r>
        <w:rPr>
          <w:rFonts w:ascii="Inter" w:cs="Inter" w:eastAsia="Inter" w:hAnsi="Inter"/>
          <w:b/>
          <w:bCs/>
          <w:color w:val="1565C0"/>
          <w:sz w:val="26"/>
          <w:szCs w:val="26"/>
        </w:rPr>
        <w:t xml:space="preserve">7.8  Payment Terms Ledger Integration</w:t>
      </w:r>
    </w:p>
    <w:p>
      <w:pPr>
        <w:spacing w:after="80" w:before="60"/>
      </w:pPr>
      <w:r>
        <w:rPr>
          <w:rFonts w:ascii="Inter" w:cs="Inter" w:eastAsia="Inter" w:hAnsi="Inter"/>
          <w:color w:val="1A2E3D"/>
          <w:sz w:val="20"/>
          <w:szCs w:val="20"/>
        </w:rPr>
        <w:t xml:space="preserve">Ratal's current Excel VBA JOURNAL + frmPayments approach should be replaced by automatic ledger updates:</w:t>
      </w:r>
    </w:p>
    <w:p>
      <w:pPr>
        <w:pStyle w:val="ListParagraph"/>
        <w:numPr>
          <w:ilvl w:val="0"/>
          <w:numId w:val="1"/>
        </w:numPr>
        <w:spacing w:after="40" w:before="40"/>
      </w:pPr>
      <w:r>
        <w:rPr>
          <w:rFonts w:ascii="Inter" w:cs="Inter" w:eastAsia="Inter" w:hAnsi="Inter"/>
          <w:color w:val="1A2E3D"/>
          <w:sz w:val="20"/>
          <w:szCs w:val="20"/>
        </w:rPr>
        <w:t xml:space="preserve">Sub-Contractor Ledger: Debits on PO issue; credits on payment. Overdue shown in red after payment term date.</w:t>
      </w:r>
    </w:p>
    <w:p>
      <w:pPr>
        <w:pStyle w:val="ListParagraph"/>
        <w:numPr>
          <w:ilvl w:val="0"/>
          <w:numId w:val="1"/>
        </w:numPr>
        <w:spacing w:after="40" w:before="40"/>
      </w:pPr>
      <w:r>
        <w:rPr>
          <w:rFonts w:ascii="Inter" w:cs="Inter" w:eastAsia="Inter" w:hAnsi="Inter"/>
          <w:color w:val="1A2E3D"/>
          <w:sz w:val="20"/>
          <w:szCs w:val="20"/>
        </w:rPr>
        <w:t xml:space="preserve">Supplier Ledger: Debits on goods receipt (not PO issue); credits on payment. Tracks quantity + value.</w:t>
      </w:r>
    </w:p>
    <w:p>
      <w:pPr>
        <w:pStyle w:val="ListParagraph"/>
        <w:numPr>
          <w:ilvl w:val="0"/>
          <w:numId w:val="1"/>
        </w:numPr>
        <w:spacing w:after="40" w:before="40"/>
      </w:pPr>
      <w:r>
        <w:rPr>
          <w:rFonts w:ascii="Inter" w:cs="Inter" w:eastAsia="Inter" w:hAnsi="Inter"/>
          <w:color w:val="1A2E3D"/>
          <w:sz w:val="20"/>
          <w:szCs w:val="20"/>
        </w:rPr>
        <w:t xml:space="preserve">Contractor Ledger (Receivable): Credits on invoice submission; debits on payment received. Overdue alerts.</w:t>
      </w:r>
    </w:p>
    <w:p>
      <w:pPr>
        <w:pStyle w:val="ListParagraph"/>
        <w:numPr>
          <w:ilvl w:val="0"/>
          <w:numId w:val="1"/>
        </w:numPr>
        <w:spacing w:after="40" w:before="40"/>
      </w:pPr>
      <w:r>
        <w:rPr>
          <w:rFonts w:ascii="Inter" w:cs="Inter" w:eastAsia="Inter" w:hAnsi="Inter"/>
          <w:color w:val="1A2E3D"/>
          <w:sz w:val="20"/>
          <w:szCs w:val="20"/>
        </w:rPr>
        <w:t xml:space="preserve">All three ledgers are visible in the Party List record for each party.</w:t>
      </w:r>
    </w:p>
    <w:p>
      <w:pPr>
        <w:pBdr>
          <w:left w:val="thick" w:color="FF385C" w:sz="12" w:space="8"/>
        </w:pBdr>
        <w:spacing w:after="80" w:before="80"/>
        <w:ind w:left="400"/>
      </w:pPr>
      <w:r>
        <w:rPr>
          <w:rFonts w:ascii="Inter" w:cs="Inter" w:eastAsia="Inter" w:hAnsi="Inter"/>
          <w:i/>
          <w:iCs/>
          <w:color w:val="E65100"/>
          <w:sz w:val="18"/>
          <w:szCs w:val="18"/>
        </w:rPr>
        <w:t xml:space="preserve">The existing sub-con and supplier pools (5–10 per activity) make overdue tracking critical — at any given time, Ratal may have 30–50 open sub-con POs across active sites. A manual Excel cannot flag these reliably.</w:t>
      </w:r>
    </w:p>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8.  Application — Sidebar Navigation Design</w:t>
      </w:r>
    </w:p>
    <w:p>
      <w:pPr>
        <w:spacing w:after="80" w:before="60"/>
      </w:pPr>
      <w:r>
        <w:rPr>
          <w:rFonts w:ascii="Inter" w:cs="Inter" w:eastAsia="Inter" w:hAnsi="Inter"/>
          <w:color w:val="1A2E3D"/>
          <w:sz w:val="20"/>
          <w:szCs w:val="20"/>
        </w:rPr>
        <w:t xml:space="preserve">The Site Master introduces a new section in the sidebar, positioned under the Projects section. The navigation hierarchy: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00"/>
      </w:tblGrid>
      <w:tr>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Sidebar Group</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Menu Item</w:t>
            </w:r>
          </w:p>
        </w:tc>
        <w:tc>
          <w:tcPr>
            <w:tcW w:type="dxa" w:w="4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Access</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Projects</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All roles with Corporate access</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Master ★ NEW</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SUPERADMIN, ADMIN, DEPT_HEAD, PROJECT_MANAGER</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Site Master → NISU</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Filtered view of NISU site masters</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Site Master → TISU</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Filtered view of TISU site masters</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Site Master → CISU</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Filtered view of CISU site masters</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Site Master → ITSU</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Filtered view of ITSU site masters</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Party List</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SUPERADMIN, ADMIN, DEPT_HEAD</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Purchase Orders</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SUPERADMIN, ADMIN, DEPT_HEAD</w:t>
            </w:r>
          </w:p>
        </w:tc>
      </w:tr>
    </w:tbl>
    <w:p>
      <w:pPr>
        <w:spacing w:after="80" w:before="60"/>
      </w:pPr>
      <w:r>
        <w:rPr>
          <w:rFonts w:ascii="Inter" w:cs="Inter" w:eastAsia="Inter" w:hAnsi="Inter"/>
          <w:color w:val="1A2E3D"/>
          <w:sz w:val="20"/>
          <w:szCs w:val="20"/>
        </w:rPr>
        <w:t xml:space="preserve">The Site Master list view should provide:</w:t>
      </w:r>
    </w:p>
    <w:p>
      <w:pPr>
        <w:pStyle w:val="ListParagraph"/>
        <w:numPr>
          <w:ilvl w:val="0"/>
          <w:numId w:val="1"/>
        </w:numPr>
        <w:spacing w:after="40" w:before="40"/>
      </w:pPr>
      <w:r>
        <w:rPr>
          <w:rFonts w:ascii="Inter" w:cs="Inter" w:eastAsia="Inter" w:hAnsi="Inter"/>
          <w:color w:val="1A2E3D"/>
          <w:sz w:val="20"/>
          <w:szCs w:val="20"/>
        </w:rPr>
        <w:t xml:space="preserve">Filter by Service Unit (NISU / TISU / CISU / ITSU)</w:t>
      </w:r>
    </w:p>
    <w:p>
      <w:pPr>
        <w:pStyle w:val="ListParagraph"/>
        <w:numPr>
          <w:ilvl w:val="0"/>
          <w:numId w:val="1"/>
        </w:numPr>
        <w:spacing w:after="40" w:before="40"/>
      </w:pPr>
      <w:r>
        <w:rPr>
          <w:rFonts w:ascii="Inter" w:cs="Inter" w:eastAsia="Inter" w:hAnsi="Inter"/>
          <w:color w:val="1A2E3D"/>
          <w:sz w:val="20"/>
          <w:szCs w:val="20"/>
        </w:rPr>
        <w:t xml:space="preserve">Filter by Status (Open / Active / PAT / Invoiced / Closed)</w:t>
      </w:r>
    </w:p>
    <w:p>
      <w:pPr>
        <w:pStyle w:val="ListParagraph"/>
        <w:numPr>
          <w:ilvl w:val="0"/>
          <w:numId w:val="1"/>
        </w:numPr>
        <w:spacing w:after="40" w:before="40"/>
      </w:pPr>
      <w:r>
        <w:rPr>
          <w:rFonts w:ascii="Inter" w:cs="Inter" w:eastAsia="Inter" w:hAnsi="Inter"/>
          <w:color w:val="1A2E3D"/>
          <w:sz w:val="20"/>
          <w:szCs w:val="20"/>
        </w:rPr>
        <w:t xml:space="preserve">Filter by Project #</w:t>
      </w:r>
    </w:p>
    <w:p>
      <w:pPr>
        <w:pStyle w:val="ListParagraph"/>
        <w:numPr>
          <w:ilvl w:val="0"/>
          <w:numId w:val="1"/>
        </w:numPr>
        <w:spacing w:after="40" w:before="40"/>
      </w:pPr>
      <w:r>
        <w:rPr>
          <w:rFonts w:ascii="Inter" w:cs="Inter" w:eastAsia="Inter" w:hAnsi="Inter"/>
          <w:color w:val="1A2E3D"/>
          <w:sz w:val="20"/>
          <w:szCs w:val="20"/>
        </w:rPr>
        <w:t xml:space="preserve">Filter by Traffic Light Status (Green / Amber / Orange / Red)</w:t>
      </w:r>
    </w:p>
    <w:p>
      <w:pPr>
        <w:pStyle w:val="ListParagraph"/>
        <w:numPr>
          <w:ilvl w:val="0"/>
          <w:numId w:val="1"/>
        </w:numPr>
        <w:spacing w:after="40" w:before="40"/>
      </w:pPr>
      <w:r>
        <w:rPr>
          <w:rFonts w:ascii="Inter" w:cs="Inter" w:eastAsia="Inter" w:hAnsi="Inter"/>
          <w:color w:val="1A2E3D"/>
          <w:sz w:val="20"/>
          <w:szCs w:val="20"/>
        </w:rPr>
        <w:t xml:space="preserve">Sort by: Start Date / Target Date / Contract Value / Budget Utilisation %</w:t>
      </w:r>
    </w:p>
    <w:p>
      <w:pPr>
        <w:pStyle w:val="ListParagraph"/>
        <w:numPr>
          <w:ilvl w:val="0"/>
          <w:numId w:val="1"/>
        </w:numPr>
        <w:spacing w:after="40" w:before="40"/>
      </w:pPr>
      <w:r>
        <w:rPr>
          <w:rFonts w:ascii="Inter" w:cs="Inter" w:eastAsia="Inter" w:hAnsi="Inter"/>
          <w:color w:val="1A2E3D"/>
          <w:sz w:val="20"/>
          <w:szCs w:val="20"/>
        </w:rPr>
        <w:t xml:space="preserve">Summary cards at top: Total Sites, Total Revenue, Total Budgeted Margin, Avg Burn Rate</w:t>
      </w:r>
    </w:p>
    <w:p>
      <w:pPr>
        <w:spacing w:after="80" w:before="80"/>
      </w:pPr>
      <w:r>
        <w:t xml:space="preserve"/>
      </w:r>
    </w:p>
    <w:p>
      <w:pPr>
        <w:pStyle w:val="Heading1"/>
        <w:pBdr>
          <w:bottom w:val="single" w:color="1565C0" w:sz="4" w:space="4"/>
        </w:pBdr>
        <w:spacing w:after="160" w:before="400"/>
      </w:pPr>
      <w:r>
        <w:rPr>
          <w:rFonts w:ascii="Inter" w:cs="Inter" w:eastAsia="Inter" w:hAnsi="Inter"/>
          <w:b/>
          <w:bCs/>
          <w:color w:val="1A2E3D"/>
          <w:sz w:val="32"/>
          <w:szCs w:val="32"/>
        </w:rPr>
        <w:t xml:space="preserve">9.  Open Questions Before Coding</w:t>
      </w:r>
    </w:p>
    <w:p>
      <w:pPr>
        <w:spacing w:after="80" w:before="60"/>
      </w:pPr>
      <w:r>
        <w:rPr>
          <w:rFonts w:ascii="Inter" w:cs="Inter" w:eastAsia="Inter" w:hAnsi="Inter"/>
          <w:color w:val="1A2E3D"/>
          <w:sz w:val="20"/>
          <w:szCs w:val="20"/>
        </w:rPr>
        <w:t xml:space="preserve">The following items need to be confirmed before development of the Site Master module begins: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00"/>
      </w:tblGrid>
      <w:tr>
        <w:tc>
          <w:tcPr>
            <w:tcW w:type="dxa" w:w="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t>
            </w:r>
          </w:p>
        </w:tc>
        <w:tc>
          <w:tcPr>
            <w:tcW w:type="dxa" w:w="4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Question</w:t>
            </w:r>
          </w:p>
        </w:tc>
        <w:tc>
          <w:tcPr>
            <w:tcW w:type="dxa" w:w="4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Impact</w:t>
            </w:r>
          </w:p>
        </w:tc>
      </w:tr>
      <w:tr>
        <w:tc>
          <w:tcPr>
            <w:tcW w:type="dxa" w:w="5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w:t>
            </w:r>
          </w:p>
        </w:tc>
        <w:tc>
          <w:tcPr>
            <w:tcW w:type="dxa" w:w="4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For NISU — does one Job# always map to exactly one BOQ model type, or can one Job# span multiple models?</w:t>
            </w:r>
          </w:p>
        </w:tc>
        <w:tc>
          <w:tcPr>
            <w:tcW w:type="dxa" w:w="46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Determines whether one Site Master = one Job# or one Site Master = one model at one site.</w:t>
            </w:r>
          </w:p>
        </w:tc>
      </w:tr>
      <w:tr>
        <w:tc>
          <w:tcPr>
            <w:tcW w:type="dxa" w:w="5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2</w:t>
            </w:r>
          </w:p>
        </w:tc>
        <w:tc>
          <w:tcPr>
            <w:tcW w:type="dxa" w:w="4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For TISU — is the Contractor always one PO per tower, or are there cluster POs covering multiple towers?</w:t>
            </w:r>
          </w:p>
        </w:tc>
        <w:tc>
          <w:tcPr>
            <w:tcW w:type="dxa" w:w="46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Determines whether Site Master = tower or Site Master = PO.</w:t>
            </w:r>
          </w:p>
        </w:tc>
      </w:tr>
      <w:tr>
        <w:tc>
          <w:tcPr>
            <w:tcW w:type="dxa" w:w="5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3</w:t>
            </w:r>
          </w:p>
        </w:tc>
        <w:tc>
          <w:tcPr>
            <w:tcW w:type="dxa" w:w="4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For CISU — what is the billable milestone for MW links? Is it link commissioned or link accepted?</w:t>
            </w:r>
          </w:p>
        </w:tc>
        <w:tc>
          <w:tcPr>
            <w:tcW w:type="dxa" w:w="46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Gate milestone definition.</w:t>
            </w:r>
          </w:p>
        </w:tc>
      </w:tr>
      <w:tr>
        <w:tc>
          <w:tcPr>
            <w:tcW w:type="dxa" w:w="5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4</w:t>
            </w:r>
          </w:p>
        </w:tc>
        <w:tc>
          <w:tcPr>
            <w:tcW w:type="dxa" w:w="4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For ITSU — is billing per device, per project, or per engineer-day? Does the customer accept timesheets?</w:t>
            </w:r>
          </w:p>
        </w:tc>
        <w:tc>
          <w:tcPr>
            <w:tcW w:type="dxa" w:w="46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Determines cost model and budget structure.</w:t>
            </w:r>
          </w:p>
        </w:tc>
      </w:tr>
      <w:tr>
        <w:tc>
          <w:tcPr>
            <w:tcW w:type="dxa" w:w="5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5</w:t>
            </w:r>
          </w:p>
        </w:tc>
        <w:tc>
          <w:tcPr>
            <w:tcW w:type="dxa" w:w="4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Overhead allocation: is there a fixed % of revenue or a fixed SAR per unit to cover G&amp;A costs?</w:t>
            </w:r>
          </w:p>
        </w:tc>
        <w:tc>
          <w:tcPr>
            <w:tcW w:type="dxa" w:w="46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Required for margin calculation to be meaningful.</w:t>
            </w:r>
          </w:p>
        </w:tc>
      </w:tr>
      <w:tr>
        <w:tc>
          <w:tcPr>
            <w:tcW w:type="dxa" w:w="5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6</w:t>
            </w:r>
          </w:p>
        </w:tc>
        <w:tc>
          <w:tcPr>
            <w:tcW w:type="dxa" w:w="4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Payroll allocation: how is an employee's monthly salary apportioned across multiple active Site Masters?</w:t>
            </w:r>
          </w:p>
        </w:tc>
        <w:tc>
          <w:tcPr>
            <w:tcW w:type="dxa" w:w="46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Timesheet by site? Fixed allocation? PM decides split?</w:t>
            </w:r>
          </w:p>
        </w:tc>
      </w:tr>
      <w:tr>
        <w:tc>
          <w:tcPr>
            <w:tcW w:type="dxa" w:w="5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7</w:t>
            </w:r>
          </w:p>
        </w:tc>
        <w:tc>
          <w:tcPr>
            <w:tcW w:type="dxa" w:w="4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Variation Orders: are they always additive (extra scope) or can they be deductive (scope reduction)?</w:t>
            </w:r>
          </w:p>
        </w:tc>
        <w:tc>
          <w:tcPr>
            <w:tcW w:type="dxa" w:w="46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Budget amendment logic.</w:t>
            </w:r>
          </w:p>
        </w:tc>
      </w:tr>
      <w:tr>
        <w:tc>
          <w:tcPr>
            <w:tcW w:type="dxa" w:w="5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8</w:t>
            </w:r>
          </w:p>
        </w:tc>
        <w:tc>
          <w:tcPr>
            <w:tcW w:type="dxa" w:w="4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Authority approvals (CISU): which permits are required, and who tracks their status — PM or admin?</w:t>
            </w:r>
          </w:p>
        </w:tc>
        <w:tc>
          <w:tcPr>
            <w:tcW w:type="dxa" w:w="46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Milestone blocking rule.</w:t>
            </w:r>
          </w:p>
        </w:tc>
      </w:tr>
      <w:tr>
        <w:tc>
          <w:tcPr>
            <w:tcW w:type="dxa" w:w="5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9</w:t>
            </w:r>
          </w:p>
        </w:tc>
        <w:tc>
          <w:tcPr>
            <w:tcW w:type="dxa" w:w="4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How should the system handle partial payment from the contractor (e.g., 60% on PAT, 40% on handover)?</w:t>
            </w:r>
          </w:p>
        </w:tc>
        <w:tc>
          <w:tcPr>
            <w:tcW w:type="dxa" w:w="46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Revenue recognition phasing.</w:t>
            </w:r>
          </w:p>
        </w:tc>
      </w:tr>
      <w:tr>
        <w:tc>
          <w:tcPr>
            <w:tcW w:type="dxa" w:w="5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10</w:t>
            </w:r>
          </w:p>
        </w:tc>
        <w:tc>
          <w:tcPr>
            <w:tcW w:type="dxa" w:w="4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What is the payment term agreed with sub-contractors and suppliers — is it standard across all or negotiated per party?</w:t>
            </w:r>
          </w:p>
        </w:tc>
        <w:tc>
          <w:tcPr>
            <w:tcW w:type="dxa" w:w="46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Overdue alert configuration.</w:t>
            </w:r>
          </w:p>
        </w:tc>
      </w:tr>
    </w:tbl>
    <w:p>
      <w:pPr>
        <w:spacing w:after="80" w:before="80"/>
      </w:pPr>
      <w:r>
        <w:t xml:space="preserve"/>
      </w:r>
    </w:p>
    <w:p>
      <w:pPr>
        <w:pStyle w:val="Heading1"/>
        <w:pBdr>
          <w:bottom w:val="single" w:color="1565C0" w:sz="4" w:space="4"/>
        </w:pBdr>
        <w:spacing w:after="160" w:before="400"/>
      </w:pPr>
      <w:r>
        <w:rPr>
          <w:rFonts w:ascii="Inter" w:cs="Inter" w:eastAsia="Inter" w:hAnsi="Inter"/>
          <w:b/>
          <w:bCs/>
          <w:color w:val="1A2E3D"/>
          <w:sz w:val="32"/>
          <w:szCs w:val="32"/>
        </w:rPr>
        <w:t xml:space="preserve">10.  Recommended Next Steps</w:t>
      </w:r>
    </w:p>
    <w:p>
      <w:pPr>
        <w:pStyle w:val="ListParagraph"/>
        <w:numPr>
          <w:ilvl w:val="0"/>
          <w:numId w:val="1"/>
        </w:numPr>
        <w:spacing w:after="40" w:before="40"/>
      </w:pPr>
      <w:r>
        <w:rPr>
          <w:rFonts w:ascii="Inter" w:cs="Inter" w:eastAsia="Inter" w:hAnsi="Inter"/>
          <w:color w:val="1A2E3D"/>
          <w:sz w:val="20"/>
          <w:szCs w:val="20"/>
        </w:rPr>
        <w:t xml:space="preserve">Step 1: Review and annotate this document — confirm or correct unit-specific milestone lists, material categories, and cost structures.</w:t>
      </w:r>
    </w:p>
    <w:p>
      <w:pPr>
        <w:pStyle w:val="ListParagraph"/>
        <w:numPr>
          <w:ilvl w:val="0"/>
          <w:numId w:val="1"/>
        </w:numPr>
        <w:spacing w:after="40" w:before="40"/>
      </w:pPr>
      <w:r>
        <w:rPr>
          <w:rFonts w:ascii="Inter" w:cs="Inter" w:eastAsia="Inter" w:hAnsi="Inter"/>
          <w:color w:val="1A2E3D"/>
          <w:sz w:val="20"/>
          <w:szCs w:val="20"/>
        </w:rPr>
        <w:t xml:space="preserve">Step 2: Answer the Open Questions (Section 9) so the data model can be finalised.</w:t>
      </w:r>
    </w:p>
    <w:p>
      <w:pPr>
        <w:pStyle w:val="ListParagraph"/>
        <w:numPr>
          <w:ilvl w:val="0"/>
          <w:numId w:val="1"/>
        </w:numPr>
        <w:spacing w:after="40" w:before="40"/>
      </w:pPr>
      <w:r>
        <w:rPr>
          <w:rFonts w:ascii="Inter" w:cs="Inter" w:eastAsia="Inter" w:hAnsi="Inter"/>
          <w:color w:val="1A2E3D"/>
          <w:sz w:val="20"/>
          <w:szCs w:val="20"/>
        </w:rPr>
        <w:t xml:space="preserve">Step 3: Design review — walk through the Site Master form fields (Section 5) and confirm all fields are present / remove any that are not needed.</w:t>
      </w:r>
    </w:p>
    <w:p>
      <w:pPr>
        <w:pStyle w:val="ListParagraph"/>
        <w:numPr>
          <w:ilvl w:val="0"/>
          <w:numId w:val="1"/>
        </w:numPr>
        <w:spacing w:after="40" w:before="40"/>
      </w:pPr>
      <w:r>
        <w:rPr>
          <w:rFonts w:ascii="Inter" w:cs="Inter" w:eastAsia="Inter" w:hAnsi="Inter"/>
          <w:color w:val="1A2E3D"/>
          <w:sz w:val="20"/>
          <w:szCs w:val="20"/>
        </w:rPr>
        <w:t xml:space="preserve">Step 4: Run the SQL migration (add_form_fields.sql) to bring the existing tables to the current field spec.</w:t>
      </w:r>
    </w:p>
    <w:p>
      <w:pPr>
        <w:pStyle w:val="ListParagraph"/>
        <w:numPr>
          <w:ilvl w:val="0"/>
          <w:numId w:val="1"/>
        </w:numPr>
        <w:spacing w:after="40" w:before="40"/>
      </w:pPr>
      <w:r>
        <w:rPr>
          <w:rFonts w:ascii="Inter" w:cs="Inter" w:eastAsia="Inter" w:hAnsi="Inter"/>
          <w:color w:val="1A2E3D"/>
          <w:sz w:val="20"/>
          <w:szCs w:val="20"/>
        </w:rPr>
        <w:t xml:space="preserve">Step 5: Coding begins — Site Master database table, form, list view, and Budget vs Actual dashboard.</w:t>
      </w:r>
    </w:p>
    <w:p>
      <w:pPr>
        <w:pStyle w:val="ListParagraph"/>
        <w:numPr>
          <w:ilvl w:val="0"/>
          <w:numId w:val="1"/>
        </w:numPr>
        <w:spacing w:after="40" w:before="40"/>
      </w:pPr>
      <w:r>
        <w:rPr>
          <w:rFonts w:ascii="Inter" w:cs="Inter" w:eastAsia="Inter" w:hAnsi="Inter"/>
          <w:color w:val="1A2E3D"/>
          <w:sz w:val="20"/>
          <w:szCs w:val="20"/>
        </w:rPr>
        <w:t xml:space="preserve">Step 6: Ledger integration — link sub-con/supplier POs to Site Master; plug in Expenses, OT, FA, Payroll allocation.</w:t>
      </w:r>
    </w:p>
    <w:p>
      <w:pPr>
        <w:pStyle w:val="ListParagraph"/>
        <w:numPr>
          <w:ilvl w:val="0"/>
          <w:numId w:val="1"/>
        </w:numPr>
        <w:spacing w:after="40" w:before="40"/>
      </w:pPr>
      <w:r>
        <w:rPr>
          <w:rFonts w:ascii="Inter" w:cs="Inter" w:eastAsia="Inter" w:hAnsi="Inter"/>
          <w:color w:val="1A2E3D"/>
          <w:sz w:val="20"/>
          <w:szCs w:val="20"/>
        </w:rPr>
        <w:t xml:space="preserve">Step 7: Reporting — Project-level roll-up, company-wide Budget vs Actual, overdue ledger report, cashflow projection.</w:t>
      </w:r>
    </w:p>
    <w:p>
      <w:pPr>
        <w:spacing w:after="80" w:before="80"/>
      </w:pPr>
      <w:r>
        <w:t xml:space="preserve"/>
      </w:r>
    </w:p>
    <w:p>
      <w:pPr>
        <w:pBdr>
          <w:top w:val="single" w:color="DDDDDD" w:sz="4"/>
        </w:pBdr>
        <w:spacing w:after="0" w:before="400"/>
        <w:jc w:val="center"/>
      </w:pPr>
      <w:r>
        <w:rPr>
          <w:rFonts w:ascii="Inter" w:cs="Inter" w:eastAsia="Inter" w:hAnsi="Inter"/>
          <w:i/>
          <w:iCs/>
          <w:color w:val="999999"/>
          <w:sz w:val="16"/>
          <w:szCs w:val="16"/>
        </w:rPr>
        <w:t xml:space="preserve">Ratal Group — Site Master &amp; Budget vs Actual Framework  |  July 2026  |  Draft for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lvl w:ilvl="2" w15:tentative="1">
      <w:start w:val="1"/>
      <w:numFmt w:val="bullet"/>
      <w:lvlText w:val="▪"/>
      <w:lvlJc w:val="left"/>
      <w:pPr>
        <w:ind w:left="108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2026-07-13T05:06:26.789Z</dcterms:created>
  <dcterms:modified xsi:type="dcterms:W3CDTF">2026-07-13T05:06:26.789Z</dcterms:modified>
</cp:coreProperties>
</file>

<file path=docProps/custom.xml><?xml version="1.0" encoding="utf-8"?>
<Properties xmlns="http://schemas.openxmlformats.org/officeDocument/2006/custom-properties" xmlns:vt="http://schemas.openxmlformats.org/officeDocument/2006/docPropsVTypes"/>
</file>