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Inter" w:cs="Inter" w:eastAsia="Inter" w:hAnsi="Inter"/>
          <w:b/>
          <w:bCs/>
          <w:color w:val="1565C0"/>
          <w:sz w:val="52"/>
          <w:szCs w:val="52"/>
        </w:rPr>
        <w:t xml:space="preserve">RATAL GROUP</w:t>
      </w:r>
    </w:p>
    <w:p>
      <w:pPr>
        <w:spacing w:after="100" w:before="0"/>
        <w:jc w:val="center"/>
      </w:pPr>
      <w:r>
        <w:rPr>
          <w:rFonts w:ascii="Inter" w:cs="Inter" w:eastAsia="Inter" w:hAnsi="Inter"/>
          <w:color w:val="6B7C93"/>
          <w:sz w:val="28"/>
          <w:szCs w:val="28"/>
        </w:rPr>
        <w:t xml:space="preserve">Travel &amp; Corporate Management System</w:t>
      </w:r>
    </w:p>
    <w:p>
      <w:pPr>
        <w:pBdr>
          <w:bottom w:val="single" w:color="FF385C" w:sz="4"/>
        </w:pBdr>
        <w:spacing w:after="80" w:before="200"/>
        <w:jc w:val="center"/>
      </w:pPr>
      <w:r>
        <w:t xml:space="preserve"/>
      </w:r>
    </w:p>
    <w:p>
      <w:pPr>
        <w:spacing w:after="160" w:before="400"/>
        <w:jc w:val="center"/>
      </w:pPr>
      <w:r>
        <w:rPr>
          <w:rFonts w:ascii="Inter" w:cs="Inter" w:eastAsia="Inter" w:hAnsi="Inter"/>
          <w:b/>
          <w:bCs/>
          <w:color w:val="1A2E3D"/>
          <w:sz w:val="44"/>
          <w:szCs w:val="44"/>
        </w:rPr>
        <w:t xml:space="preserve">SITE MASTER &amp; BUDGET VS ACTUAL</w:t>
      </w:r>
    </w:p>
    <w:p>
      <w:pPr>
        <w:spacing w:after="100" w:before="0"/>
        <w:jc w:val="center"/>
      </w:pPr>
      <w:r>
        <w:rPr>
          <w:rFonts w:ascii="Inter" w:cs="Inter" w:eastAsia="Inter" w:hAnsi="Inter"/>
          <w:color w:val="1565C0"/>
          <w:sz w:val="28"/>
          <w:szCs w:val="28"/>
        </w:rPr>
        <w:t xml:space="preserve">Operational &amp; Financial Control Framework</w:t>
      </w:r>
    </w:p>
    <w:p>
      <w:pPr>
        <w:spacing w:after="60" w:before="0"/>
        <w:jc w:val="center"/>
      </w:pPr>
      <w:r>
        <w:rPr>
          <w:rFonts w:ascii="Inter" w:cs="Inter" w:eastAsia="Inter" w:hAnsi="Inter"/>
          <w:i/>
          <w:iCs/>
          <w:color w:val="6B7C93"/>
          <w:sz w:val="22"/>
          <w:szCs w:val="22"/>
        </w:rPr>
        <w:t xml:space="preserve">Covering: NISU · TISU · CISU · ITSU</w:t>
      </w:r>
    </w:p>
    <w:p>
      <w:pPr>
        <w:spacing w:after="40" w:before="200"/>
        <w:jc w:val="center"/>
      </w:pPr>
      <w:r>
        <w:rPr>
          <w:rFonts w:ascii="Inter" w:cs="Inter" w:eastAsia="Inter" w:hAnsi="Inter"/>
          <w:color w:val="999999"/>
          <w:sz w:val="18"/>
          <w:szCs w:val="18"/>
        </w:rPr>
        <w:t xml:space="preserve">Version 2.0  |  July 2026  |  CONFIDENTIAL</w:t>
      </w:r>
    </w:p>
    <w:p>
      <w:pPr>
        <w:spacing w:after="0" w:before="0"/>
        <w:jc w:val="center"/>
      </w:pPr>
      <w:r>
        <w:rPr>
          <w:rFonts w:ascii="Inter" w:cs="Inter" w:eastAsia="Inter" w:hAnsi="Inter"/>
          <w:b/>
          <w:bCs/>
          <w:color w:val="2E7D32"/>
          <w:sz w:val="18"/>
          <w:szCs w:val="18"/>
        </w:rPr>
        <w:t xml:space="preserve">All open questions resolved — ready for coding phase</w:t>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1.  Executive Summary</w:t>
      </w:r>
    </w:p>
    <w:p>
      <w:pPr>
        <w:spacing w:after="80" w:before="60"/>
      </w:pPr>
      <w:r>
        <w:rPr>
          <w:rFonts w:ascii="Inter" w:cs="Inter" w:eastAsia="Inter" w:hAnsi="Inter"/>
          <w:color w:val="1A2E3D"/>
          <w:sz w:val="20"/>
          <w:szCs w:val="20"/>
        </w:rPr>
        <w:t xml:space="preserve">Ratal Group delivers telecom and civil infrastructure services across Saudi Arabia as a sub-contractor to main contractors (Nokia, Huawei, Cisco, ZTE) whose end-clients are STC, TAWAL, Mobily, and Zain.</w:t>
      </w:r>
    </w:p>
    <w:p>
      <w:pPr>
        <w:spacing w:after="80" w:before="60"/>
      </w:pPr>
      <w:r>
        <w:rPr>
          <w:rFonts w:ascii="Inter" w:cs="Inter" w:eastAsia="Inter" w:hAnsi="Inter"/>
          <w:color w:val="1A2E3D"/>
          <w:sz w:val="20"/>
          <w:szCs w:val="20"/>
        </w:rPr>
        <w:t xml:space="preserve">Revenue is earned against Contractor Purchase Orders (POs). Costs arise from sub-contractors, material suppliers, internal manpower, and field expenses. Today these are tracked in Excel VBA — fragmented across ledgers, payment forms, and journals with no real-time view of profitability per site or job.</w:t>
      </w:r>
    </w:p>
    <w:p>
      <w:pPr>
        <w:spacing w:after="80" w:before="60"/>
      </w:pPr>
      <w:r>
        <w:rPr>
          <w:rFonts w:ascii="Inter" w:cs="Inter" w:eastAsia="Inter" w:hAnsi="Inter"/>
          <w:color w:val="1A2E3D"/>
          <w:sz w:val="20"/>
          <w:szCs w:val="20"/>
        </w:rPr>
        <w:t xml:space="preserve">This document (Version 2.0) incorporates confirmed answers to all 10 open questions raised in v1.0. It defines the final data model, business rules, and form specification for the Site Master module — the unified digital record binding the Contractor PO to every cost element for each site/job.</w:t>
      </w:r>
    </w:p>
    <w:p>
      <w:pPr>
        <w:spacing w:after="80" w:before="60"/>
      </w:pPr>
      <w:r>
        <w:rPr>
          <w:rFonts w:ascii="Inter" w:cs="Inter" w:eastAsia="Inter" w:hAnsi="Inter"/>
          <w:color w:val="1A2E3D"/>
          <w:sz w:val="20"/>
          <w:szCs w:val="20"/>
        </w:rPr>
        <w:t xml:space="preserve">Key confirmed decisions:</w:t>
      </w:r>
    </w:p>
    <w:p>
      <w:pPr>
        <w:pStyle w:val="ListParagraph"/>
        <w:numPr>
          <w:ilvl w:val="0"/>
          <w:numId w:val="1"/>
        </w:numPr>
        <w:spacing w:after="40" w:before="40"/>
      </w:pPr>
      <w:r>
        <w:rPr>
          <w:rFonts w:ascii="Inter" w:cs="Inter" w:eastAsia="Inter" w:hAnsi="Inter"/>
          <w:color w:val="1A2E3D"/>
          <w:sz w:val="20"/>
          <w:szCs w:val="20"/>
        </w:rPr>
        <w:t xml:space="preserve">Site Master scope is one-to-one: 1 Job# (NISU) = 1 Site Master; 1 Tower (TISU) = 1 Site Master.</w:t>
      </w:r>
    </w:p>
    <w:p>
      <w:pPr>
        <w:pStyle w:val="ListParagraph"/>
        <w:numPr>
          <w:ilvl w:val="0"/>
          <w:numId w:val="1"/>
        </w:numPr>
        <w:spacing w:after="40" w:before="40"/>
      </w:pPr>
      <w:r>
        <w:rPr>
          <w:rFonts w:ascii="Inter" w:cs="Inter" w:eastAsia="Inter" w:hAnsi="Inter"/>
          <w:color w:val="1A2E3D"/>
          <w:sz w:val="20"/>
          <w:szCs w:val="20"/>
        </w:rPr>
        <w:t xml:space="preserve">Budget is locked on approval. Variations are tracked as actual cost overruns — budget is not amended.</w:t>
      </w:r>
    </w:p>
    <w:p>
      <w:pPr>
        <w:pStyle w:val="ListParagraph"/>
        <w:numPr>
          <w:ilvl w:val="0"/>
          <w:numId w:val="1"/>
        </w:numPr>
        <w:spacing w:after="40" w:before="40"/>
      </w:pPr>
      <w:r>
        <w:rPr>
          <w:rFonts w:ascii="Inter" w:cs="Inter" w:eastAsia="Inter" w:hAnsi="Inter"/>
          <w:color w:val="1A2E3D"/>
          <w:sz w:val="20"/>
          <w:szCs w:val="20"/>
        </w:rPr>
        <w:t xml:space="preserve">CISU spans five distinct work types, each with its own billing mechanism.</w:t>
      </w:r>
    </w:p>
    <w:p>
      <w:pPr>
        <w:pStyle w:val="ListParagraph"/>
        <w:numPr>
          <w:ilvl w:val="0"/>
          <w:numId w:val="1"/>
        </w:numPr>
        <w:spacing w:after="40" w:before="40"/>
      </w:pPr>
      <w:r>
        <w:rPr>
          <w:rFonts w:ascii="Inter" w:cs="Inter" w:eastAsia="Inter" w:hAnsi="Inter"/>
          <w:color w:val="1A2E3D"/>
          <w:sz w:val="20"/>
          <w:szCs w:val="20"/>
        </w:rPr>
        <w:t xml:space="preserve">ITSU bills per Charter (SOW). Client mechanisms vary.</w:t>
      </w:r>
    </w:p>
    <w:p>
      <w:pPr>
        <w:pStyle w:val="ListParagraph"/>
        <w:numPr>
          <w:ilvl w:val="0"/>
          <w:numId w:val="1"/>
        </w:numPr>
        <w:spacing w:after="40" w:before="40"/>
      </w:pPr>
      <w:r>
        <w:rPr>
          <w:rFonts w:ascii="Inter" w:cs="Inter" w:eastAsia="Inter" w:hAnsi="Inter"/>
          <w:color w:val="1A2E3D"/>
          <w:sz w:val="20"/>
          <w:szCs w:val="20"/>
        </w:rPr>
        <w:t xml:space="preserve">Ratal outgoing POs follow the format ACC-PO-XXXX. Contractor incoming POs are stored under the Purchase Orders tab.</w:t>
      </w:r>
    </w:p>
    <w:p>
      <w:pPr>
        <w:pStyle w:val="ListParagraph"/>
        <w:numPr>
          <w:ilvl w:val="0"/>
          <w:numId w:val="1"/>
        </w:numPr>
        <w:spacing w:after="40" w:before="40"/>
      </w:pPr>
      <w:r>
        <w:rPr>
          <w:rFonts w:ascii="Inter" w:cs="Inter" w:eastAsia="Inter" w:hAnsi="Inter"/>
          <w:color w:val="1A2E3D"/>
          <w:sz w:val="20"/>
          <w:szCs w:val="20"/>
        </w:rPr>
        <w:t xml:space="preserve">Payment terms are per-party by category, not a fixed standard.</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2.  Business Model &amp; Revenue Structure</w:t>
      </w:r>
    </w:p>
    <w:p>
      <w:pPr>
        <w:pStyle w:val="Heading2"/>
        <w:spacing w:after="120" w:before="320"/>
      </w:pPr>
      <w:r>
        <w:rPr>
          <w:rFonts w:ascii="Inter" w:cs="Inter" w:eastAsia="Inter" w:hAnsi="Inter"/>
          <w:b/>
          <w:bCs/>
          <w:color w:val="1565C0"/>
          <w:sz w:val="26"/>
          <w:szCs w:val="26"/>
        </w:rPr>
        <w:t xml:space="preserve">2.1  The Contracting Chain</w:t>
      </w:r>
    </w:p>
    <w:p>
      <w:pPr>
        <w:spacing w:after="80" w:before="60"/>
      </w:pPr>
      <w:r>
        <w:rPr>
          <w:rFonts w:ascii="Inter" w:cs="Inter" w:eastAsia="Inter" w:hAnsi="Inter"/>
          <w:color w:val="1A2E3D"/>
          <w:sz w:val="20"/>
          <w:szCs w:val="20"/>
        </w:rPr>
        <w:t xml:space="preserve">Ratal Group sits at tier 2 in a three-tier delivery chain: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Tier</w:t>
            </w:r>
          </w:p>
        </w:tc>
        <w:tc>
          <w:tcPr>
            <w:tcW w:type="dxa" w:w="3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Party</w:t>
            </w:r>
          </w:p>
        </w:tc>
        <w:tc>
          <w:tcPr>
            <w:tcW w:type="dxa" w:w="3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Role</w:t>
            </w:r>
          </w:p>
        </w:tc>
      </w:tr>
      <w:tr>
        <w:tc>
          <w:tcPr>
            <w:tcW w:type="dxa" w:w="2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1</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STC / TAWAL / Mobily / Zain</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End Client — owns the network and sets the specification</w:t>
            </w:r>
          </w:p>
        </w:tc>
      </w:tr>
      <w:tr>
        <w:tc>
          <w:tcPr>
            <w:tcW w:type="dxa" w:w="2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2</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Nokia / Huawei / Cisco / ZTE (Main 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Prime Contractor — holds the main contract with end client; issues POs to Ratal Group. These POs are the revenue ceiling.</w:t>
            </w:r>
          </w:p>
        </w:tc>
      </w:tr>
      <w:tr>
        <w:tc>
          <w:tcPr>
            <w:tcW w:type="dxa" w:w="24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3</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 Group (Sub-Contractor)</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Executes field delivery; raises invoices to contractor; manages own sub-contractors and suppliers via ACC-PO-XXXX series.</w:t>
            </w:r>
          </w:p>
        </w:tc>
      </w:tr>
      <w:tr>
        <w:tc>
          <w:tcPr>
            <w:tcW w:type="dxa" w:w="2400"/>
            <w:gridSpan w:val="1"/>
            <w:shd w:fill="F3E5F5"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Tier 4</w:t>
            </w:r>
          </w:p>
        </w:tc>
        <w:tc>
          <w:tcPr>
            <w:tcW w:type="dxa" w:w="3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Ratal's Sub-Contractors &amp; Suppliers</w:t>
            </w:r>
          </w:p>
        </w:tc>
        <w:tc>
          <w:tcPr>
            <w:tcW w:type="dxa" w:w="3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Specialised activity sub-cons and material suppliers. Each receives an ACC-PO issued by Ratal.</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2.2  PO Numbering — Confirmed</w:t>
      </w:r>
    </w:p>
    <w:p>
      <w:pPr>
        <w:spacing w:after="80" w:before="60"/>
      </w:pPr>
      <w:r>
        <w:rPr>
          <w:rFonts w:ascii="Inter" w:cs="Inter" w:eastAsia="Inter" w:hAnsi="Inter"/>
          <w:color w:val="1A2E3D"/>
          <w:sz w:val="20"/>
          <w:szCs w:val="20"/>
        </w:rPr>
        <w:t xml:space="preserve">Two categories of POs exist in the system. They are fundamentally different: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00"/>
      </w:tblGrid>
      <w:tr>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Direction</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Format</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Where Stored</w:t>
            </w:r>
          </w:p>
        </w:tc>
      </w:tr>
      <w:tr>
        <w:tc>
          <w:tcPr>
            <w:tcW w:type="dxa" w:w="16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INCOMING — Nokia/Huawei/ZTE issues to Ratal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Contractor's own ref#</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"Incoming PO" record. This is the revenue document.</w:t>
            </w:r>
          </w:p>
        </w:tc>
      </w:tr>
      <w:tr>
        <w:tc>
          <w:tcPr>
            <w:tcW w:type="dxa" w:w="16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Ratal PO</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OUTGOING — Ratal issues to Sub-Con / Supplier / Vendor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ACC-PO-0001 + Date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 tab — "Outgoing PO" record. Links to the Site Master it serves.</w:t>
            </w:r>
          </w:p>
        </w:tc>
      </w:tr>
    </w:tbl>
    <w:p>
      <w:pPr>
        <w:pBdr>
          <w:left w:val="thick" w:color="2E7D32" w:sz="12" w:space="8"/>
        </w:pBdr>
        <w:spacing w:after="80" w:before="80"/>
        <w:ind w:left="400"/>
      </w:pPr>
      <w:r>
        <w:rPr>
          <w:rFonts w:ascii="Inter" w:cs="Inter" w:eastAsia="Inter" w:hAnsi="Inter"/>
          <w:b/>
          <w:bCs/>
          <w:color w:val="2E7D32"/>
          <w:sz w:val="18"/>
          <w:szCs w:val="18"/>
        </w:rPr>
        <w:t xml:space="preserve">✔  CONFIRMED: Ratal outgoing POs use the format ACC-PO-XXXX (e.g., ACC-PO-0001) with the issue date. Sequence is global across all entity types.</w:t>
      </w:r>
    </w:p>
    <w:p>
      <w:pPr>
        <w:spacing w:after="80" w:before="80"/>
      </w:pPr>
      <w:r>
        <w:t xml:space="preserve"/>
      </w:r>
    </w:p>
    <w:p>
      <w:pPr>
        <w:pStyle w:val="Heading2"/>
        <w:spacing w:after="120" w:before="320"/>
      </w:pPr>
      <w:r>
        <w:rPr>
          <w:rFonts w:ascii="Inter" w:cs="Inter" w:eastAsia="Inter" w:hAnsi="Inter"/>
          <w:b/>
          <w:bCs/>
          <w:color w:val="1565C0"/>
          <w:sz w:val="26"/>
          <w:szCs w:val="26"/>
        </w:rPr>
        <w:t xml:space="preserve">2.3  Revenue Recognition per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00"/>
      </w:tblGrid>
      <w:tr>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Billable Trigger</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w:t>
            </w:r>
          </w:p>
        </w:tc>
      </w:tr>
      <w:tr>
        <w:tc>
          <w:tcPr>
            <w:tcW w:type="dxa" w:w="14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Model-based BOQ — PO per model type (not per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Document Approval after PAT</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Job# = 1 BOQ model = 1 Site Master</w:t>
            </w:r>
          </w:p>
        </w:tc>
      </w:tr>
      <w:tr>
        <w:tc>
          <w:tcPr>
            <w:tcW w:type="dxa" w:w="14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PO per tower</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Handover milestone complete</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Tower = 1 PO = 1 Site Master</w:t>
            </w:r>
          </w:p>
        </w:tc>
      </w:tr>
      <w:tr>
        <w:tc>
          <w:tcPr>
            <w:tcW w:type="dxa" w:w="1400"/>
            <w:gridSpan w:val="1"/>
            <w:shd w:fill="EDE7F6"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Varies by work type (see §3.3)</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Contractor PO qty &amp; terms</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Billing = PO quantity + contractor terms</w:t>
            </w:r>
          </w:p>
        </w:tc>
      </w:tr>
      <w:tr>
        <w:tc>
          <w:tcPr>
            <w:tcW w:type="dxa" w:w="1400"/>
            <w:gridSpan w:val="1"/>
            <w:shd w:fill="E0F2F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Per Charter / SOW</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Charter milestones / client mechanism</w:t>
            </w:r>
          </w:p>
        </w:tc>
        <w:tc>
          <w:tcPr>
            <w:tcW w:type="dxa" w:w="27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Charter (SOW) = 1 Site Master</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3.  The Four Service Units — Confirmed Scope</w:t>
      </w:r>
    </w:p>
    <w:p>
      <w:pPr>
        <w:pStyle w:val="Heading2"/>
        <w:spacing w:after="120" w:before="320"/>
      </w:pPr>
      <w:r>
        <w:rPr>
          <w:rFonts w:ascii="Inter" w:cs="Inter" w:eastAsia="Inter" w:hAnsi="Inter"/>
          <w:b/>
          <w:bCs/>
          <w:color w:val="1565C0"/>
          <w:sz w:val="26"/>
          <w:szCs w:val="26"/>
        </w:rPr>
        <w:t xml:space="preserve">3.1  NISU — Network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Each Job# maps to exactly one BOQ model type. Therefore: 1 Site Master = 1 Job# = 1 BOQ model at 1 physical site.</w:t>
      </w:r>
    </w:p>
    <w:p>
      <w:pPr>
        <w:pStyle w:val="Heading3"/>
        <w:spacing w:after="80" w:before="240"/>
      </w:pPr>
      <w:r>
        <w:rPr>
          <w:rFonts w:ascii="Inter" w:cs="Inter" w:eastAsia="Inter" w:hAnsi="Inter"/>
          <w:b/>
          <w:bCs/>
          <w:color w:val="1A2E3D"/>
          <w:sz w:val="22"/>
          <w:szCs w:val="22"/>
        </w:rPr>
        <w:t xml:space="preserve">How the NISU PO + Job# relationship works</w:t>
      </w:r>
    </w:p>
    <w:p>
      <w:pPr>
        <w:spacing w:after="80" w:before="60"/>
      </w:pPr>
      <w:r>
        <w:rPr>
          <w:rFonts w:ascii="Inter" w:cs="Inter" w:eastAsia="Inter" w:hAnsi="Inter"/>
          <w:color w:val="1A2E3D"/>
          <w:sz w:val="20"/>
          <w:szCs w:val="20"/>
        </w:rPr>
        <w:t xml:space="preserve">The Contractor issues one PO covering a model type across many quantities. Ratal then receives individual Job# references for each installation. Example: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500"/>
        <w:gridCol w:w="22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Contractor PO Line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Total</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Job# Allocation</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Model-1 (ASR-9922 2×100G, 2×40G, 2×10G)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30</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1,950,000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30 separate Job# → 30 Site Masters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PE-Agg Model-2 (ASR-9922 3×100G, 1×40G, 2×1G)</w:t>
            </w:r>
          </w:p>
        </w:tc>
        <w:tc>
          <w:tcPr>
            <w:tcW w:type="dxa" w:w="18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42</w:t>
            </w:r>
          </w:p>
        </w:tc>
        <w:tc>
          <w:tcPr>
            <w:tcW w:type="dxa" w:w="16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75,000</w:t>
            </w:r>
          </w:p>
        </w:tc>
        <w:tc>
          <w:tcPr>
            <w:tcW w:type="dxa" w:w="1500"/>
            <w:gridSpan w:val="1"/>
            <w:tcMar>
              <w:top w:type="dxa" w:w="60"/>
              <w:left w:type="dxa" w:w="80"/>
              <w:bottom w:type="dxa" w:w="60"/>
              <w:right w:type="dxa" w:w="80"/>
            </w:tcMar>
            <w:vAlign w:val="center"/>
          </w:tcPr>
          <w:p>
            <w:pPr>
              <w:jc w:val="right"/>
            </w:pPr>
            <w:r>
              <w:rPr>
                <w:rFonts w:ascii="Inter" w:cs="Inter" w:eastAsia="Inter" w:hAnsi="Inter"/>
                <w:b/>
                <w:bCs/>
                <w:color w:val="1A2E3D"/>
                <w:sz w:val="18"/>
                <w:szCs w:val="18"/>
              </w:rPr>
              <w:t xml:space="preserve">SAR 3,150,000</w:t>
            </w:r>
          </w:p>
        </w:tc>
        <w:tc>
          <w:tcPr>
            <w:tcW w:type="dxa" w:w="22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42 separate Job# → 42 Site Masters</w:t>
            </w:r>
          </w:p>
        </w:tc>
      </w:tr>
    </w:tbl>
    <w:p>
      <w:pPr>
        <w:pBdr>
          <w:left w:val="thick" w:color="FF385C" w:sz="12" w:space="8"/>
        </w:pBdr>
        <w:spacing w:after="80" w:before="80"/>
        <w:ind w:left="400"/>
      </w:pPr>
      <w:r>
        <w:rPr>
          <w:rFonts w:ascii="Inter" w:cs="Inter" w:eastAsia="Inter" w:hAnsi="Inter"/>
          <w:i/>
          <w:iCs/>
          <w:color w:val="E65100"/>
          <w:sz w:val="18"/>
          <w:szCs w:val="18"/>
        </w:rPr>
        <w:t xml:space="preserve">The Contractor PO total (e.g., SAR 1,950,000 for 30 units) is the revenue envelope. Each Site Master carries the per-unit value (SAR 65,000) as its revenue ceiling.</w:t>
      </w:r>
    </w:p>
    <w:p>
      <w:pPr>
        <w:pStyle w:val="Heading3"/>
        <w:spacing w:after="80" w:before="240"/>
      </w:pPr>
      <w:r>
        <w:rPr>
          <w:rFonts w:ascii="Inter" w:cs="Inter" w:eastAsia="Inter" w:hAnsi="Inter"/>
          <w:b/>
          <w:bCs/>
          <w:color w:val="1A2E3D"/>
          <w:sz w:val="22"/>
          <w:szCs w:val="22"/>
        </w:rPr>
        <w:t xml:space="preserve">NISU Delivery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1400"/>
        <w:gridCol w:w="25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Responsible</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Floor Plan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Client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cannot start without this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Facility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Power cabling cannot proceed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Technical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Covers active + passive components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MOP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 / Client</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Installation start clearance</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Passive Material Procurement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Procurement / Suppliers</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PO ACC-PO-XXXX to supplier; triggers supplier ledger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Installation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Field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Active equipment delivered by contractor at no cost to Ratal</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 document submission trigger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Admin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Document Approval</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Invoice eligibility unlocked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Invoice Submission</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Finance</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event</w:t>
            </w:r>
          </w:p>
        </w:tc>
      </w:tr>
    </w:tbl>
    <w:p>
      <w:pPr>
        <w:pStyle w:val="Heading3"/>
        <w:spacing w:after="80" w:before="240"/>
      </w:pPr>
      <w:r>
        <w:rPr>
          <w:rFonts w:ascii="Inter" w:cs="Inter" w:eastAsia="Inter" w:hAnsi="Inter"/>
          <w:b/>
          <w:bCs/>
          <w:color w:val="1A2E3D"/>
          <w:sz w:val="22"/>
          <w:szCs w:val="22"/>
        </w:rPr>
        <w:t xml:space="preserve">NISU Passive Material Procurement — Example (10 sites)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300"/>
        <w:gridCol w:w="18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Supplier</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Material</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Qty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Unit Price</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Value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MOUSA Cables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Power Cable 35mm</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8,000 m</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23</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184,000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Schindler Electrics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Circuit Breaker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320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60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19,200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600×600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3,200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Smart Communications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Cabinet 800×1200</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10 units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5,200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52,000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MDX Suppliers</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Cable Ladder</w:t>
            </w:r>
          </w:p>
        </w:tc>
        <w:tc>
          <w:tcPr>
            <w:tcW w:type="dxa" w:w="18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150 pieces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A2E3D"/>
                <w:sz w:val="18"/>
                <w:szCs w:val="18"/>
              </w:rPr>
              <w:t xml:space="preserve">SAR 240</w:t>
            </w:r>
          </w:p>
        </w:tc>
        <w:tc>
          <w:tcPr>
            <w:tcW w:type="dxa" w:w="1800"/>
            <w:gridSpan w:val="1"/>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SAR 36,000</w:t>
            </w:r>
          </w:p>
        </w:tc>
      </w:tr>
    </w:tbl>
    <w:p>
      <w:pPr>
        <w:spacing w:after="80" w:before="80"/>
      </w:pPr>
      <w:r>
        <w:t xml:space="preserve"/>
      </w:r>
    </w:p>
    <w:p>
      <w:pPr>
        <w:pStyle w:val="Heading2"/>
        <w:spacing w:after="120" w:before="320"/>
      </w:pPr>
      <w:r>
        <w:rPr>
          <w:rFonts w:ascii="Inter" w:cs="Inter" w:eastAsia="Inter" w:hAnsi="Inter"/>
          <w:b/>
          <w:bCs/>
          <w:color w:val="2E7D32"/>
          <w:sz w:val="26"/>
          <w:szCs w:val="26"/>
        </w:rPr>
        <w:t xml:space="preserve">3.2  TISU — Tower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One Contractor PO per tower. Each tower is a standalone Site Master. Cluster POs not currently used — policy may be revisited in future.</w:t>
      </w:r>
    </w:p>
    <w:p>
      <w:pPr>
        <w:pStyle w:val="Heading3"/>
        <w:spacing w:after="80" w:before="240"/>
      </w:pPr>
      <w:r>
        <w:rPr>
          <w:rFonts w:ascii="Inter" w:cs="Inter" w:eastAsia="Inter" w:hAnsi="Inter"/>
          <w:b/>
          <w:bCs/>
          <w:color w:val="1A2E3D"/>
          <w:sz w:val="22"/>
          <w:szCs w:val="22"/>
        </w:rPr>
        <w:t xml:space="preserve">Tower Classification &amp; Revenue per 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900"/>
        <w:gridCol w:w="19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Tower Type</w:t>
            </w:r>
          </w:p>
        </w:tc>
        <w:tc>
          <w:tcPr>
            <w:tcW w:type="dxa" w:w="1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Heights (m)</w:t>
            </w:r>
          </w:p>
        </w:tc>
        <w:tc>
          <w:tcPr>
            <w:tcW w:type="dxa" w:w="1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Client Example</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per Tower</w:t>
            </w:r>
          </w:p>
        </w:tc>
        <w:tc>
          <w:tcPr>
            <w:tcW w:type="dxa" w:w="1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Site Master Revenue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 / 75 / 90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TAWAL</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140,000–180,000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4-Leg Lattice (Zain)</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Zain</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SAR 150,000</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Monopole</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30 / 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Urban sites</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Tri-Leg</w:t>
            </w:r>
          </w:p>
        </w:tc>
        <w:tc>
          <w:tcPr>
            <w:tcW w:type="dxa" w:w="1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45 / 60</w:t>
            </w:r>
          </w:p>
        </w:tc>
        <w:tc>
          <w:tcPr>
            <w:tcW w:type="dxa" w:w="1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Rare</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2E7D32"/>
                <w:sz w:val="18"/>
                <w:szCs w:val="18"/>
              </w:rPr>
              <w:t xml:space="preserve">1 PO = 1 SM</w:t>
            </w:r>
          </w:p>
        </w:tc>
        <w:tc>
          <w:tcPr>
            <w:tcW w:type="dxa" w:w="19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Varies</w:t>
            </w:r>
          </w:p>
        </w:tc>
      </w:tr>
    </w:tbl>
    <w:p>
      <w:pPr>
        <w:pStyle w:val="Heading3"/>
        <w:spacing w:after="80" w:before="240"/>
      </w:pPr>
      <w:r>
        <w:rPr>
          <w:rFonts w:ascii="Inter" w:cs="Inter" w:eastAsia="Inter" w:hAnsi="Inter"/>
          <w:b/>
          <w:bCs/>
          <w:color w:val="1A2E3D"/>
          <w:sz w:val="22"/>
          <w:szCs w:val="22"/>
        </w:rPr>
        <w:t xml:space="preserve">TISU 15-Step Milestone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1400"/>
        <w:gridCol w:w="2900"/>
      </w:tblGrid>
      <w:tr>
        <w:tc>
          <w:tcPr>
            <w:tcW w:type="dxa" w:w="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Milestone</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Executor</w:t>
            </w:r>
          </w:p>
        </w:tc>
        <w:tc>
          <w:tcPr>
            <w:tcW w:type="dxa" w:w="1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Gate?</w:t>
            </w:r>
          </w:p>
        </w:tc>
        <w:tc>
          <w:tcPr>
            <w:tcW w:type="dxa" w:w="29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Sub-Con Pool / Notes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Survey</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NISU Survey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Soil + access route assessment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Design Review</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Structural Engineer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Authority/client approval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Excavation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Rate varies: 45m tower SAR 20k, 65m SAR 25k; per region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Lean Concrete</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Levelling layer before foundation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Compaction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(5–8)</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Certification required</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Back Filling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Own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After foundation curing</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Testing &amp; Certification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Compaction + torque tests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Foundation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(4–6)</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Rebar + concrete; 28-day cure minimum</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Transportation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Transport Sub-Con</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Heavy vehicle; permit per dimensions</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Erection</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 (5–10)</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Crane required; HSE plan mandatory</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RFI</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Quality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Formal inspection request to client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Power Cabling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TISU Electrical Team</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Generator / grid connection</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Fencing</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Pool</w:t>
            </w:r>
          </w:p>
        </w:tc>
        <w:tc>
          <w:tcPr>
            <w:tcW w:type="dxa" w:w="1400"/>
            <w:gridSpan w:val="1"/>
            <w:tcMar>
              <w:top w:type="dxa" w:w="60"/>
              <w:left w:type="dxa" w:w="80"/>
              <w:bottom w:type="dxa" w:w="60"/>
              <w:right w:type="dxa" w:w="80"/>
            </w:tcMar>
            <w:vAlign w:val="center"/>
          </w:tcPr>
          <w:p>
            <w:pPr>
              <w:jc w:val="center"/>
            </w:pPr>
            <w:r>
              <w:rPr>
                <w:rFonts w:ascii="Inter" w:cs="Inter" w:eastAsia="Inter" w:hAnsi="Inter"/>
                <w:b w:val="false"/>
                <w:bCs w:val="false"/>
                <w:color w:val="1A2E3D"/>
                <w:sz w:val="18"/>
                <w:szCs w:val="18"/>
              </w:rPr>
              <w:t xml:space="preserve"/>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Security perimeter</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PAT</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PAT Team + Contractor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Pre-Acceptance Test</w:t>
            </w:r>
          </w:p>
        </w:tc>
      </w:tr>
      <w:tr>
        <w:tc>
          <w:tcPr>
            <w:tcW w:type="dxa" w:w="400"/>
            <w:gridSpan w:val="1"/>
            <w:shd w:fill="F5F7FA"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Handover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 Manager</w:t>
            </w:r>
          </w:p>
        </w:tc>
        <w:tc>
          <w:tcPr>
            <w:tcW w:type="dxa" w:w="1400"/>
            <w:gridSpan w:val="1"/>
            <w:tcMar>
              <w:top w:type="dxa" w:w="60"/>
              <w:left w:type="dxa" w:w="80"/>
              <w:bottom w:type="dxa" w:w="60"/>
              <w:right w:type="dxa" w:w="80"/>
            </w:tcMar>
            <w:vAlign w:val="center"/>
          </w:tcPr>
          <w:p>
            <w:pPr>
              <w:jc w:val="center"/>
            </w:pPr>
            <w:r>
              <w:rPr>
                <w:rFonts w:ascii="Inter" w:cs="Inter" w:eastAsia="Inter" w:hAnsi="Inter"/>
                <w:b/>
                <w:bCs/>
                <w:color w:val="C62828"/>
                <w:sz w:val="18"/>
                <w:szCs w:val="18"/>
              </w:rPr>
              <w:t xml:space="preserve">GATE</w:t>
            </w:r>
          </w:p>
        </w:tc>
        <w:tc>
          <w:tcPr>
            <w:tcW w:type="dxa" w:w="29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recognition; invoice trigger</w:t>
            </w:r>
          </w:p>
        </w:tc>
      </w:tr>
    </w:tbl>
    <w:p>
      <w:pPr>
        <w:spacing w:after="80" w:before="80"/>
      </w:pPr>
      <w:r>
        <w:t xml:space="preserve"/>
      </w:r>
    </w:p>
    <w:p>
      <w:r>
        <w:br w:type="page"/>
      </w:r>
    </w:p>
    <w:p>
      <w:pPr>
        <w:pStyle w:val="Heading2"/>
        <w:spacing w:after="120" w:before="320"/>
      </w:pPr>
      <w:r>
        <w:rPr>
          <w:rFonts w:ascii="Inter" w:cs="Inter" w:eastAsia="Inter" w:hAnsi="Inter"/>
          <w:b/>
          <w:bCs/>
          <w:color w:val="6A1B9A"/>
          <w:sz w:val="26"/>
          <w:szCs w:val="26"/>
        </w:rPr>
        <w:t xml:space="preserve">3.3  CISU — Civil Infrastructure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CISU spans five distinct work types, each with its own billing mechanism. Billing in all cases is governed by the Contractor's PO quantity and payment terms. PM tracks all authority approvals.</w:t>
      </w:r>
    </w:p>
    <w:p>
      <w:pPr>
        <w:spacing w:after="80" w:before="60"/>
      </w:pPr>
      <w:r>
        <w:rPr>
          <w:rFonts w:ascii="Inter" w:cs="Inter" w:eastAsia="Inter" w:hAnsi="Inter"/>
          <w:color w:val="1A2E3D"/>
          <w:sz w:val="20"/>
          <w:szCs w:val="20"/>
        </w:rPr>
        <w:t xml:space="preserve">CISU is the most diverse unit in scope. The Site Master data model must support multiple CISU work types under one department:</w:t>
      </w:r>
    </w:p>
    <w:p>
      <w:pPr>
        <w:pStyle w:val="Heading3"/>
        <w:spacing w:after="80" w:before="240"/>
      </w:pPr>
      <w:r>
        <w:rPr>
          <w:rFonts w:ascii="Inter" w:cs="Inter" w:eastAsia="Inter" w:hAnsi="Inter"/>
          <w:b/>
          <w:bCs/>
          <w:color w:val="1A2E3D"/>
          <w:sz w:val="22"/>
          <w:szCs w:val="22"/>
        </w:rPr>
        <w:t xml:space="preserve">CISU Work Type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00"/>
      </w:tblGrid>
      <w:tr>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Work Type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PO Pattern</w:t>
            </w:r>
          </w:p>
        </w:tc>
        <w:tc>
          <w:tcPr>
            <w:tcW w:type="dxa" w:w="3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Mechanism</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Microwave Links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MW antenna erection, waveguide, IDU, alignment</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Cluster PO — multiple links per month</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link commissioned within the cluster period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Node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SBM: 8,000 nodes across sites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Bulk Qty PO (no Job# per node)</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Quantity installed × unit rate from contractor PO</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Camera Installations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CCTV, PTZ cameras, NVR</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camera installed and accepted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Door Access Systems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Card readers, control panels, barriers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Unit Qty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unit installed and commissioned</w:t>
            </w:r>
          </w:p>
        </w:tc>
      </w:tr>
      <w:tr>
        <w:tc>
          <w:tcPr>
            <w:tcW w:type="dxa" w:w="1800"/>
            <w:gridSpan w:val="1"/>
            <w:tcMar>
              <w:top w:type="dxa" w:w="60"/>
              <w:left w:type="dxa" w:w="80"/>
              <w:bottom w:type="dxa" w:w="60"/>
              <w:right w:type="dxa" w:w="80"/>
            </w:tcMar>
            <w:vAlign w:val="center"/>
          </w:tcPr>
          <w:p>
            <w:pPr>
              <w:jc w:val="left"/>
            </w:pPr>
            <w:r>
              <w:rPr>
                <w:rFonts w:ascii="Inter" w:cs="Inter" w:eastAsia="Inter" w:hAnsi="Inter"/>
                <w:b/>
                <w:bCs/>
                <w:color w:val="6A1B9A"/>
                <w:sz w:val="18"/>
                <w:szCs w:val="18"/>
              </w:rPr>
              <w:t xml:space="preserve">Data Centre Infrastructure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Raised floor, cabling, PDU, cooling, racks</w:t>
            </w:r>
          </w:p>
        </w:tc>
        <w:tc>
          <w:tcPr>
            <w:tcW w:type="dxa" w:w="20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6"/>
                <w:szCs w:val="16"/>
              </w:rPr>
              <w:t xml:space="preserve">Milestone / deliverable PO</w:t>
            </w:r>
          </w:p>
        </w:tc>
        <w:tc>
          <w:tcPr>
            <w:tcW w:type="dxa" w:w="31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phase milestone or deliverable acceptance</w:t>
            </w:r>
          </w:p>
        </w:tc>
      </w:tr>
    </w:tbl>
    <w:p>
      <w:pPr>
        <w:pBdr>
          <w:left w:val="thick" w:color="FF385C" w:sz="12" w:space="8"/>
        </w:pBdr>
        <w:spacing w:after="80" w:before="80"/>
        <w:ind w:left="400"/>
      </w:pPr>
      <w:r>
        <w:rPr>
          <w:rFonts w:ascii="Inter" w:cs="Inter" w:eastAsia="Inter" w:hAnsi="Inter"/>
          <w:i/>
          <w:iCs/>
          <w:color w:val="E65100"/>
          <w:sz w:val="18"/>
          <w:szCs w:val="18"/>
        </w:rPr>
        <w:t xml:space="preserve">For CISU, the Site Master ID reference (e.g., SM-CISU-26-003) is used when the contractor does not issue a specific Job# or site reference. For Microwave Links, the link ID (provided by contractor) is used as the Job# reference.</w:t>
      </w:r>
    </w:p>
    <w:p>
      <w:pPr>
        <w:pStyle w:val="Heading3"/>
        <w:spacing w:after="80" w:before="240"/>
      </w:pPr>
      <w:r>
        <w:rPr>
          <w:rFonts w:ascii="Inter" w:cs="Inter" w:eastAsia="Inter" w:hAnsi="Inter"/>
          <w:b/>
          <w:bCs/>
          <w:color w:val="1A2E3D"/>
          <w:sz w:val="22"/>
          <w:szCs w:val="22"/>
        </w:rPr>
        <w:t xml:space="preserve">CISU — Microwave Links: Cluster PO Logic</w:t>
      </w:r>
    </w:p>
    <w:p>
      <w:pPr>
        <w:spacing w:after="80" w:before="60"/>
      </w:pPr>
      <w:r>
        <w:rPr>
          <w:rFonts w:ascii="Inter" w:cs="Inter" w:eastAsia="Inter" w:hAnsi="Inter"/>
          <w:color w:val="1A2E3D"/>
          <w:sz w:val="20"/>
          <w:szCs w:val="20"/>
        </w:rPr>
        <w:t xml:space="preserve">MW Links are issued as cluster POs covering all links scheduled within a billing period (typically monthly). Each cluster PO may cover 5–20 links. The Site Master is created per link; the cluster PO is referenced on all Site Masters within that batch:</w:t>
      </w:r>
    </w:p>
    <w:p>
      <w:pPr>
        <w:pStyle w:val="ListParagraph"/>
        <w:numPr>
          <w:ilvl w:val="0"/>
          <w:numId w:val="1"/>
        </w:numPr>
        <w:spacing w:after="40" w:before="40"/>
      </w:pPr>
      <w:r>
        <w:rPr>
          <w:rFonts w:ascii="Inter" w:cs="Inter" w:eastAsia="Inter" w:hAnsi="Inter"/>
          <w:color w:val="1A2E3D"/>
          <w:sz w:val="20"/>
          <w:szCs w:val="20"/>
        </w:rPr>
        <w:t xml:space="preserve">Cluster PO → references multiple Site Masters (one per link)</w:t>
      </w:r>
    </w:p>
    <w:p>
      <w:pPr>
        <w:pStyle w:val="ListParagraph"/>
        <w:numPr>
          <w:ilvl w:val="0"/>
          <w:numId w:val="1"/>
        </w:numPr>
        <w:spacing w:after="40" w:before="40"/>
      </w:pPr>
      <w:r>
        <w:rPr>
          <w:rFonts w:ascii="Inter" w:cs="Inter" w:eastAsia="Inter" w:hAnsi="Inter"/>
          <w:color w:val="1A2E3D"/>
          <w:sz w:val="20"/>
          <w:szCs w:val="20"/>
        </w:rPr>
        <w:t xml:space="preserve">Each link's Site Master carries: cluster PO#, link ID, allocated unit value</w:t>
      </w:r>
    </w:p>
    <w:p>
      <w:pPr>
        <w:pStyle w:val="ListParagraph"/>
        <w:numPr>
          <w:ilvl w:val="0"/>
          <w:numId w:val="1"/>
        </w:numPr>
        <w:spacing w:after="40" w:before="40"/>
      </w:pPr>
      <w:r>
        <w:rPr>
          <w:rFonts w:ascii="Inter" w:cs="Inter" w:eastAsia="Inter" w:hAnsi="Inter"/>
          <w:color w:val="1A2E3D"/>
          <w:sz w:val="20"/>
          <w:szCs w:val="20"/>
        </w:rPr>
        <w:t xml:space="preserve">Invoicing: all links in the cluster that reach "commissioned" milestone are invoiced together in one claim</w:t>
      </w:r>
    </w:p>
    <w:p>
      <w:pPr>
        <w:pStyle w:val="ListParagraph"/>
        <w:numPr>
          <w:ilvl w:val="0"/>
          <w:numId w:val="1"/>
        </w:numPr>
        <w:spacing w:after="40" w:before="40"/>
      </w:pPr>
      <w:r>
        <w:rPr>
          <w:rFonts w:ascii="Inter" w:cs="Inter" w:eastAsia="Inter" w:hAnsi="Inter"/>
          <w:color w:val="1A2E3D"/>
          <w:sz w:val="20"/>
          <w:szCs w:val="20"/>
        </w:rPr>
        <w:t xml:space="preserve">PM tracks permit status for each link independently (antenna permits, municipal clearances)</w:t>
      </w:r>
    </w:p>
    <w:p>
      <w:pPr>
        <w:pStyle w:val="Heading3"/>
        <w:spacing w:after="80" w:before="240"/>
      </w:pPr>
      <w:r>
        <w:rPr>
          <w:rFonts w:ascii="Inter" w:cs="Inter" w:eastAsia="Inter" w:hAnsi="Inter"/>
          <w:b/>
          <w:bCs/>
          <w:color w:val="1A2E3D"/>
          <w:sz w:val="22"/>
          <w:szCs w:val="22"/>
        </w:rPr>
        <w:t xml:space="preserve">CISU — Node/Camera/Door Access: Bulk Quantity Logic</w:t>
      </w:r>
    </w:p>
    <w:p>
      <w:pPr>
        <w:spacing w:after="80" w:before="60"/>
      </w:pPr>
      <w:r>
        <w:rPr>
          <w:rFonts w:ascii="Inter" w:cs="Inter" w:eastAsia="Inter" w:hAnsi="Inter"/>
          <w:color w:val="1A2E3D"/>
          <w:sz w:val="20"/>
          <w:szCs w:val="20"/>
        </w:rPr>
        <w:t xml:space="preserve">For large-scale unit installations (e.g., SBM 8,000 nodes), there is no Job# per node. The Site Master is created per project batch:</w:t>
      </w:r>
    </w:p>
    <w:p>
      <w:pPr>
        <w:pStyle w:val="ListParagraph"/>
        <w:numPr>
          <w:ilvl w:val="0"/>
          <w:numId w:val="1"/>
        </w:numPr>
        <w:spacing w:after="40" w:before="40"/>
      </w:pPr>
      <w:r>
        <w:rPr>
          <w:rFonts w:ascii="Inter" w:cs="Inter" w:eastAsia="Inter" w:hAnsi="Inter"/>
          <w:color w:val="1A2E3D"/>
          <w:sz w:val="20"/>
          <w:szCs w:val="20"/>
        </w:rPr>
        <w:t xml:space="preserve">Site Master covers the entire batch or a deployment phase (e.g., "SBM Nodes Phase 1 — 2,000 units")</w:t>
      </w:r>
    </w:p>
    <w:p>
      <w:pPr>
        <w:pStyle w:val="ListParagraph"/>
        <w:numPr>
          <w:ilvl w:val="0"/>
          <w:numId w:val="1"/>
        </w:numPr>
        <w:spacing w:after="40" w:before="40"/>
      </w:pPr>
      <w:r>
        <w:rPr>
          <w:rFonts w:ascii="Inter" w:cs="Inter" w:eastAsia="Inter" w:hAnsi="Inter"/>
          <w:color w:val="1A2E3D"/>
          <w:sz w:val="20"/>
          <w:szCs w:val="20"/>
        </w:rPr>
        <w:t xml:space="preserve">Budget = unit cost × planned quantity</w:t>
      </w:r>
    </w:p>
    <w:p>
      <w:pPr>
        <w:pStyle w:val="ListParagraph"/>
        <w:numPr>
          <w:ilvl w:val="0"/>
          <w:numId w:val="1"/>
        </w:numPr>
        <w:spacing w:after="40" w:before="40"/>
      </w:pPr>
      <w:r>
        <w:rPr>
          <w:rFonts w:ascii="Inter" w:cs="Inter" w:eastAsia="Inter" w:hAnsi="Inter"/>
          <w:color w:val="1A2E3D"/>
          <w:sz w:val="20"/>
          <w:szCs w:val="20"/>
        </w:rPr>
        <w:t xml:space="preserve">Actual = unit cost × quantity installed to date (tracked via progress report)</w:t>
      </w:r>
    </w:p>
    <w:p>
      <w:pPr>
        <w:pStyle w:val="ListParagraph"/>
        <w:numPr>
          <w:ilvl w:val="0"/>
          <w:numId w:val="1"/>
        </w:numPr>
        <w:spacing w:after="40" w:before="40"/>
      </w:pPr>
      <w:r>
        <w:rPr>
          <w:rFonts w:ascii="Inter" w:cs="Inter" w:eastAsia="Inter" w:hAnsi="Inter"/>
          <w:color w:val="1A2E3D"/>
          <w:sz w:val="20"/>
          <w:szCs w:val="20"/>
        </w:rPr>
        <w:t xml:space="preserve">Invoice raised against quantity completed each billing period</w:t>
      </w:r>
    </w:p>
    <w:p>
      <w:pPr>
        <w:spacing w:after="80" w:before="80"/>
      </w:pPr>
      <w:r>
        <w:t xml:space="preserve"/>
      </w:r>
    </w:p>
    <w:p>
      <w:pPr>
        <w:pStyle w:val="Heading2"/>
        <w:spacing w:after="120" w:before="320"/>
      </w:pPr>
      <w:r>
        <w:rPr>
          <w:rFonts w:ascii="Inter" w:cs="Inter" w:eastAsia="Inter" w:hAnsi="Inter"/>
          <w:b/>
          <w:bCs/>
          <w:color w:val="00695C"/>
          <w:sz w:val="26"/>
          <w:szCs w:val="26"/>
        </w:rPr>
        <w:t xml:space="preserve">3.4  ITSU — IT Services Unit</w:t>
      </w:r>
    </w:p>
    <w:p>
      <w:pPr>
        <w:pBdr>
          <w:left w:val="thick" w:color="2E7D32" w:sz="12" w:space="8"/>
        </w:pBdr>
        <w:spacing w:after="80" w:before="80"/>
        <w:ind w:left="400"/>
      </w:pPr>
      <w:r>
        <w:rPr>
          <w:rFonts w:ascii="Inter" w:cs="Inter" w:eastAsia="Inter" w:hAnsi="Inter"/>
          <w:b/>
          <w:bCs/>
          <w:color w:val="2E7D32"/>
          <w:sz w:val="18"/>
          <w:szCs w:val="18"/>
        </w:rPr>
        <w:t xml:space="preserve">✔  CONFIRMED: ITSU bills per Charter (SOW document). 1 Charter = 1 Site Master. Different clients follow different billing mechanisms — the system must support flexible billing terms per Contractor PO.</w:t>
      </w:r>
    </w:p>
    <w:p>
      <w:pPr>
        <w:pStyle w:val="Heading3"/>
        <w:spacing w:after="80" w:before="240"/>
      </w:pPr>
      <w:r>
        <w:rPr>
          <w:rFonts w:ascii="Inter" w:cs="Inter" w:eastAsia="Inter" w:hAnsi="Inter"/>
          <w:b/>
          <w:bCs/>
          <w:color w:val="1A2E3D"/>
          <w:sz w:val="22"/>
          <w:szCs w:val="22"/>
        </w:rPr>
        <w:t xml:space="preserve">What is a Charter in ITSU context?</w:t>
      </w:r>
    </w:p>
    <w:p>
      <w:pPr>
        <w:spacing w:after="80" w:before="60"/>
      </w:pPr>
      <w:r>
        <w:rPr>
          <w:rFonts w:ascii="Inter" w:cs="Inter" w:eastAsia="Inter" w:hAnsi="Inter"/>
          <w:color w:val="1A2E3D"/>
          <w:sz w:val="20"/>
          <w:szCs w:val="20"/>
        </w:rPr>
        <w:t xml:space="preserve">A Charter is equivalent to a Statement of Work (SOW) — it defines the scope, devices in scope, configuration standard, timeline, and acceptance criteria for a specific ITSU engagement. Examples:</w:t>
      </w:r>
    </w:p>
    <w:p>
      <w:pPr>
        <w:pStyle w:val="ListParagraph"/>
        <w:numPr>
          <w:ilvl w:val="0"/>
          <w:numId w:val="1"/>
        </w:numPr>
        <w:spacing w:after="40" w:before="40"/>
      </w:pPr>
      <w:r>
        <w:rPr>
          <w:rFonts w:ascii="Inter" w:cs="Inter" w:eastAsia="Inter" w:hAnsi="Inter"/>
          <w:color w:val="1A2E3D"/>
          <w:sz w:val="20"/>
          <w:szCs w:val="20"/>
        </w:rPr>
        <w:t xml:space="preserve">Charter: "Nokia — ASR Router Configuration, SAR Sites, Phase 2 — 120 devices @ SAR 1,200 each"</w:t>
      </w:r>
    </w:p>
    <w:p>
      <w:pPr>
        <w:pStyle w:val="ListParagraph"/>
        <w:numPr>
          <w:ilvl w:val="0"/>
          <w:numId w:val="1"/>
        </w:numPr>
        <w:spacing w:after="40" w:before="40"/>
      </w:pPr>
      <w:r>
        <w:rPr>
          <w:rFonts w:ascii="Inter" w:cs="Inter" w:eastAsia="Inter" w:hAnsi="Inter"/>
          <w:color w:val="1A2E3D"/>
          <w:sz w:val="20"/>
          <w:szCs w:val="20"/>
        </w:rPr>
        <w:t xml:space="preserve">Charter: "Huawei — Core Switch OS Upgrade — 45 switches, fixed price SAR 90,000"</w:t>
      </w:r>
    </w:p>
    <w:p>
      <w:pPr>
        <w:pStyle w:val="ListParagraph"/>
        <w:numPr>
          <w:ilvl w:val="0"/>
          <w:numId w:val="1"/>
        </w:numPr>
        <w:spacing w:after="40" w:before="40"/>
      </w:pPr>
      <w:r>
        <w:rPr>
          <w:rFonts w:ascii="Inter" w:cs="Inter" w:eastAsia="Inter" w:hAnsi="Inter"/>
          <w:color w:val="1A2E3D"/>
          <w:sz w:val="20"/>
          <w:szCs w:val="20"/>
        </w:rPr>
        <w:t xml:space="preserve">Charter: "Client XYZ — Network Audit &amp; Configuration Review — 80 engineer-days @ SAR 1,500/day"</w:t>
      </w:r>
    </w:p>
    <w:p>
      <w:pPr>
        <w:spacing w:after="80" w:before="60"/>
      </w:pPr>
      <w:r>
        <w:rPr>
          <w:rFonts w:ascii="Inter" w:cs="Inter" w:eastAsia="Inter" w:hAnsi="Inter"/>
          <w:color w:val="1A2E3D"/>
          <w:sz w:val="20"/>
          <w:szCs w:val="20"/>
        </w:rPr>
        <w:t xml:space="preserve">The billing mechanism varies by client. The system stores the billing type in the Charter/Site Master: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Billing Type</w:t>
            </w:r>
          </w:p>
        </w:tc>
        <w:tc>
          <w:tcPr>
            <w:tcW w:type="dxa" w:w="3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c>
          <w:tcPr>
            <w:tcW w:type="dxa" w:w="3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Behaviour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Device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Fixed price per configured device</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Count devices marked "configured + tested"; multiply by unit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Fixed Price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One price for the full charter</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100% revenue on Charter acceptance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Engineer-Day</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Day rate × actual days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Timesheet-driven; daily team allocation form feeds actual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00695C"/>
                <w:sz w:val="18"/>
                <w:szCs w:val="18"/>
              </w:rPr>
              <w:t xml:space="preserve">Per Milestone</w:t>
            </w:r>
          </w:p>
        </w:tc>
        <w:tc>
          <w:tcPr>
            <w:tcW w:type="dxa" w:w="3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Payment at defined deliverables</w:t>
            </w:r>
          </w:p>
        </w:tc>
        <w:tc>
          <w:tcPr>
            <w:tcW w:type="dxa" w:w="36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Gate milestones in Charter determine invoice eligibility</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4.  The Site Master — Final Data Model</w:t>
      </w:r>
    </w:p>
    <w:p>
      <w:pPr>
        <w:pStyle w:val="Heading2"/>
        <w:spacing w:after="120" w:before="320"/>
      </w:pPr>
      <w:r>
        <w:rPr>
          <w:rFonts w:ascii="Inter" w:cs="Inter" w:eastAsia="Inter" w:hAnsi="Inter"/>
          <w:b/>
          <w:bCs/>
          <w:color w:val="1565C0"/>
          <w:sz w:val="26"/>
          <w:szCs w:val="26"/>
        </w:rPr>
        <w:t xml:space="preserve">4.1  Site Master Identifier Logic</w:t>
      </w:r>
    </w:p>
    <w:p>
      <w:pPr>
        <w:spacing w:after="80" w:before="60"/>
      </w:pPr>
      <w:r>
        <w:rPr>
          <w:rFonts w:ascii="Inter" w:cs="Inter" w:eastAsia="Inter" w:hAnsi="Inter"/>
          <w:color w:val="1A2E3D"/>
          <w:sz w:val="20"/>
          <w:szCs w:val="20"/>
        </w:rPr>
        <w:t xml:space="preserve">The identifier depends on whether the client/contractor provides a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Scenario</w:t>
            </w:r>
          </w:p>
        </w:tc>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ID Used</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Example</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Job#</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client Job# as the primary reference field; system still generates SM-ID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Job# = STC-JOB-00123; SM-ID = SM-NISU-26-001 (cross-linked)</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provides RFC#</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RFC# as the primary reference; SM-ID generated internally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RFC# = TAW-RFC-0456; SM-ID = SM-TISU-26-047</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No client reference</w:t>
            </w:r>
          </w:p>
        </w:tc>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Use system-generated SM-ID as primary</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SM-ID = SM-CISU-26-003 (e.g., for node batch)</w:t>
            </w:r>
          </w:p>
        </w:tc>
      </w:tr>
    </w:tbl>
    <w:p>
      <w:pPr>
        <w:pBdr>
          <w:left w:val="thick" w:color="1565C0" w:sz="12" w:space="8"/>
        </w:pBdr>
        <w:spacing w:after="80" w:before="80"/>
        <w:ind w:left="400"/>
      </w:pPr>
      <w:r>
        <w:rPr>
          <w:rFonts w:ascii="Inter" w:cs="Inter" w:eastAsia="Inter" w:hAnsi="Inter"/>
          <w:color w:val="1565C0"/>
          <w:sz w:val="18"/>
          <w:szCs w:val="18"/>
        </w:rPr>
        <w:t xml:space="preserve">The system always generates the SM-ID. The Job# / RFC# is a searchable cross-reference field. Users can search by either.</w:t>
      </w:r>
    </w:p>
    <w:p>
      <w:pPr>
        <w:pStyle w:val="Heading2"/>
        <w:spacing w:after="120" w:before="320"/>
      </w:pPr>
      <w:r>
        <w:rPr>
          <w:rFonts w:ascii="Inter" w:cs="Inter" w:eastAsia="Inter" w:hAnsi="Inter"/>
          <w:b/>
          <w:bCs/>
          <w:color w:val="1565C0"/>
          <w:sz w:val="26"/>
          <w:szCs w:val="26"/>
        </w:rPr>
        <w:t xml:space="preserve">4.2  Site Master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w:t>
            </w:r>
          </w:p>
        </w:tc>
        <w:tc>
          <w:tcPr>
            <w:tcW w:type="dxa" w:w="3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Entity</w:t>
            </w:r>
          </w:p>
        </w:tc>
        <w:tc>
          <w:tcPr>
            <w:tcW w:type="dxa" w:w="4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Description</w:t>
            </w:r>
          </w:p>
        </w:tc>
      </w:tr>
      <w:tr>
        <w:tc>
          <w:tcPr>
            <w:tcW w:type="dxa" w:w="2000"/>
            <w:gridSpan w:val="1"/>
            <w:shd w:fill="1A2E3D"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1</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(LOI / Contract)</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Spans years; may contain hundreds of sites. E.g., "STC PE-Agg Expansion 2026".</w:t>
            </w:r>
          </w:p>
        </w:tc>
      </w:tr>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Level 2</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(Job# / Tower / Charter)</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1 per revenue unit. Holds Contractor PO + budget + actuals + milestones. THE profit centre.</w:t>
            </w:r>
          </w:p>
        </w:tc>
      </w:tr>
      <w:tr>
        <w:tc>
          <w:tcPr>
            <w:tcW w:type="dxa" w:w="2000"/>
            <w:gridSpan w:val="1"/>
            <w:shd w:fill="FFF3E0"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Level 3</w:t>
            </w:r>
          </w:p>
        </w:tc>
        <w:tc>
          <w:tcPr>
            <w:tcW w:type="dxa" w:w="3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Cost Line Items</w:t>
            </w:r>
          </w:p>
        </w:tc>
        <w:tc>
          <w:tcPr>
            <w:tcW w:type="dxa" w:w="43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Individual ACC-POs to sub-cons/suppliers, expenses, manpower allocation, OT, FA.</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5.  Budget vs Actual — Confirmed Rules</w:t>
      </w:r>
    </w:p>
    <w:p>
      <w:pPr>
        <w:pStyle w:val="Heading2"/>
        <w:spacing w:after="120" w:before="320"/>
      </w:pPr>
      <w:r>
        <w:rPr>
          <w:rFonts w:ascii="Inter" w:cs="Inter" w:eastAsia="Inter" w:hAnsi="Inter"/>
          <w:b/>
          <w:bCs/>
          <w:color w:val="1565C0"/>
          <w:sz w:val="26"/>
          <w:szCs w:val="26"/>
        </w:rPr>
        <w:t xml:space="preserve">5.1  Budget Lock Rule</w:t>
      </w:r>
    </w:p>
    <w:p>
      <w:pPr>
        <w:pBdr>
          <w:left w:val="thick" w:color="2E7D32" w:sz="12" w:space="8"/>
        </w:pBdr>
        <w:spacing w:after="80" w:before="80"/>
        <w:ind w:left="400"/>
      </w:pPr>
      <w:r>
        <w:rPr>
          <w:rFonts w:ascii="Inter" w:cs="Inter" w:eastAsia="Inter" w:hAnsi="Inter"/>
          <w:b/>
          <w:bCs/>
          <w:color w:val="2E7D32"/>
          <w:sz w:val="18"/>
          <w:szCs w:val="18"/>
        </w:rPr>
        <w:t xml:space="preserve">✔  CONFIRMED: Once the budget is approved by Department Head + Finance, it is LOCKED. It cannot be edited. Variations (scope changes or unexpected costs) are NOT added to the budget — they appear as cost overruns in the Actual column. This is intentional: it reveals the true variance between the original plan and reality.</w:t>
      </w:r>
    </w:p>
    <w:p>
      <w:pPr>
        <w:spacing w:after="80" w:before="60"/>
      </w:pPr>
      <w:r>
        <w:rPr>
          <w:rFonts w:ascii="Inter" w:cs="Inter" w:eastAsia="Inter" w:hAnsi="Inter"/>
          <w:color w:val="1A2E3D"/>
          <w:sz w:val="20"/>
          <w:szCs w:val="20"/>
        </w:rPr>
        <w:t xml:space="preserve">The workflow:</w:t>
      </w:r>
    </w:p>
    <w:p>
      <w:pPr>
        <w:pStyle w:val="ListParagraph"/>
        <w:numPr>
          <w:ilvl w:val="0"/>
          <w:numId w:val="1"/>
        </w:numPr>
        <w:spacing w:after="40" w:before="40"/>
      </w:pPr>
      <w:r>
        <w:rPr>
          <w:rFonts w:ascii="Inter" w:cs="Inter" w:eastAsia="Inter" w:hAnsi="Inter"/>
          <w:color w:val="1A2E3D"/>
          <w:sz w:val="20"/>
          <w:szCs w:val="20"/>
        </w:rPr>
        <w:t xml:space="preserve">Step 1: PM creates Site Master immediately on receiving Contractor PO.</w:t>
      </w:r>
    </w:p>
    <w:p>
      <w:pPr>
        <w:pStyle w:val="ListParagraph"/>
        <w:numPr>
          <w:ilvl w:val="0"/>
          <w:numId w:val="1"/>
        </w:numPr>
        <w:spacing w:after="40" w:before="40"/>
      </w:pPr>
      <w:r>
        <w:rPr>
          <w:rFonts w:ascii="Inter" w:cs="Inter" w:eastAsia="Inter" w:hAnsi="Inter"/>
          <w:color w:val="1A2E3D"/>
          <w:sz w:val="20"/>
          <w:szCs w:val="20"/>
        </w:rPr>
        <w:t xml:space="preserve">Step 2: PM fills in the budget breakdown within 48 hours (system warns after 48h if budget is still empty).</w:t>
      </w:r>
    </w:p>
    <w:p>
      <w:pPr>
        <w:pStyle w:val="ListParagraph"/>
        <w:numPr>
          <w:ilvl w:val="0"/>
          <w:numId w:val="1"/>
        </w:numPr>
        <w:spacing w:after="40" w:before="40"/>
      </w:pPr>
      <w:r>
        <w:rPr>
          <w:rFonts w:ascii="Inter" w:cs="Inter" w:eastAsia="Inter" w:hAnsi="Inter"/>
          <w:color w:val="1A2E3D"/>
          <w:sz w:val="20"/>
          <w:szCs w:val="20"/>
        </w:rPr>
        <w:t xml:space="preserve">Step 3: Dept Head + Finance approve the budget. Budget is now LOCKED (read-only).</w:t>
      </w:r>
    </w:p>
    <w:p>
      <w:pPr>
        <w:pStyle w:val="ListParagraph"/>
        <w:numPr>
          <w:ilvl w:val="0"/>
          <w:numId w:val="1"/>
        </w:numPr>
        <w:spacing w:after="40" w:before="40"/>
      </w:pPr>
      <w:r>
        <w:rPr>
          <w:rFonts w:ascii="Inter" w:cs="Inter" w:eastAsia="Inter" w:hAnsi="Inter"/>
          <w:color w:val="1A2E3D"/>
          <w:sz w:val="20"/>
          <w:szCs w:val="20"/>
        </w:rPr>
        <w:t xml:space="preserve">Step 4: PM can begin issuing ACC-POs against the Site Master. ACC-POs feed the Actual.</w:t>
      </w:r>
    </w:p>
    <w:p>
      <w:pPr>
        <w:pStyle w:val="ListParagraph"/>
        <w:numPr>
          <w:ilvl w:val="0"/>
          <w:numId w:val="1"/>
        </w:numPr>
        <w:spacing w:after="40" w:before="40"/>
      </w:pPr>
      <w:r>
        <w:rPr>
          <w:rFonts w:ascii="Inter" w:cs="Inter" w:eastAsia="Inter" w:hAnsi="Inter"/>
          <w:color w:val="1A2E3D"/>
          <w:sz w:val="20"/>
          <w:szCs w:val="20"/>
        </w:rPr>
        <w:t xml:space="preserve">Step 5: If additional costs arise (variation), they are raised as new ACC-POs. They increase the Actual, creating visible overrun — shown in the traffic light dashboard.</w:t>
      </w:r>
    </w:p>
    <w:p>
      <w:pPr>
        <w:pStyle w:val="ListParagraph"/>
        <w:numPr>
          <w:ilvl w:val="0"/>
          <w:numId w:val="1"/>
        </w:numPr>
        <w:spacing w:after="40" w:before="40"/>
      </w:pPr>
      <w:r>
        <w:rPr>
          <w:rFonts w:ascii="Inter" w:cs="Inter" w:eastAsia="Inter" w:hAnsi="Inter"/>
          <w:color w:val="1A2E3D"/>
          <w:sz w:val="20"/>
          <w:szCs w:val="20"/>
        </w:rPr>
        <w:t xml:space="preserve">Step 6: If the Contractor issues a Variation Order (additional scope = additional revenue), a new Contractor PO line is linked to the Site Master, increasing the revenue ceiling. A separate budget line for the VO is added (clearly labelled as VO).</w:t>
      </w:r>
    </w:p>
    <w:p>
      <w:pPr>
        <w:pStyle w:val="Heading2"/>
        <w:spacing w:after="120" w:before="320"/>
      </w:pPr>
      <w:r>
        <w:rPr>
          <w:rFonts w:ascii="Inter" w:cs="Inter" w:eastAsia="Inter" w:hAnsi="Inter"/>
          <w:b/>
          <w:bCs/>
          <w:color w:val="1565C0"/>
          <w:sz w:val="26"/>
          <w:szCs w:val="26"/>
        </w:rPr>
        <w:t xml:space="preserve">5.2  What Feeds the Actual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Source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How It Links</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Timing</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(Sub-Con)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PO issue; payment updates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(Supplier)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ACC-PO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Committed on goods receipt; payment updates supplier ledger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Expense Claims</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Expense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Overtime (OT)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OT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cost = hours × rate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Food Allowance (FA)</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FA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Dept Head approval; daily rate × days allocated</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Manpower / Payroll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Daily Allocation Form (see §5.3)</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assigns team to SM Job# daily; monthly payroll × allocation %</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Money Requests (MR)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SM# on MR form</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 Finance approval; site-specific cash advance</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5.3  Daily Manpower Allocation Form</w:t>
      </w:r>
    </w:p>
    <w:p>
      <w:pPr>
        <w:pBdr>
          <w:left w:val="thick" w:color="2E7D32" w:sz="12" w:space="8"/>
        </w:pBdr>
        <w:spacing w:after="80" w:before="80"/>
        <w:ind w:left="400"/>
      </w:pPr>
      <w:r>
        <w:rPr>
          <w:rFonts w:ascii="Inter" w:cs="Inter" w:eastAsia="Inter" w:hAnsi="Inter"/>
          <w:b/>
          <w:bCs/>
          <w:color w:val="2E7D32"/>
          <w:sz w:val="18"/>
          <w:szCs w:val="18"/>
        </w:rPr>
        <w:t xml:space="preserve">✔  CONFIRMED: PM allocates team members to Site Masters daily using a dedicated form. If the contractor has provided a Job#, the PM selects that Job# as the reference. If no Job# exists, the PM selects the system-generated SM reference. This feeds payroll cost into the correct Site Master.</w:t>
      </w:r>
    </w:p>
    <w:p>
      <w:pPr>
        <w:spacing w:after="80" w:before="60"/>
      </w:pPr>
      <w:r>
        <w:rPr>
          <w:rFonts w:ascii="Inter" w:cs="Inter" w:eastAsia="Inter" w:hAnsi="Inter"/>
          <w:color w:val="1A2E3D"/>
          <w:sz w:val="20"/>
          <w:szCs w:val="20"/>
        </w:rPr>
        <w:t xml:space="preserve">Form fields:</w:t>
      </w:r>
    </w:p>
    <w:p>
      <w:pPr>
        <w:pStyle w:val="ListParagraph"/>
        <w:numPr>
          <w:ilvl w:val="0"/>
          <w:numId w:val="1"/>
        </w:numPr>
        <w:spacing w:after="40" w:before="40"/>
      </w:pPr>
      <w:r>
        <w:rPr>
          <w:rFonts w:ascii="Inter" w:cs="Inter" w:eastAsia="Inter" w:hAnsi="Inter"/>
          <w:color w:val="1A2E3D"/>
          <w:sz w:val="20"/>
          <w:szCs w:val="20"/>
        </w:rPr>
        <w:t xml:space="preserve">Date (defaults to today)</w:t>
      </w:r>
    </w:p>
    <w:p>
      <w:pPr>
        <w:pStyle w:val="ListParagraph"/>
        <w:numPr>
          <w:ilvl w:val="0"/>
          <w:numId w:val="1"/>
        </w:numPr>
        <w:spacing w:after="40" w:before="40"/>
      </w:pPr>
      <w:r>
        <w:rPr>
          <w:rFonts w:ascii="Inter" w:cs="Inter" w:eastAsia="Inter" w:hAnsi="Inter"/>
          <w:color w:val="1A2E3D"/>
          <w:sz w:val="20"/>
          <w:szCs w:val="20"/>
        </w:rPr>
        <w:t xml:space="preserve">Project # (dropdown — filters Site Masters below)</w:t>
      </w:r>
    </w:p>
    <w:p>
      <w:pPr>
        <w:pStyle w:val="ListParagraph"/>
        <w:numPr>
          <w:ilvl w:val="0"/>
          <w:numId w:val="1"/>
        </w:numPr>
        <w:spacing w:after="40" w:before="40"/>
      </w:pPr>
      <w:r>
        <w:rPr>
          <w:rFonts w:ascii="Inter" w:cs="Inter" w:eastAsia="Inter" w:hAnsi="Inter"/>
          <w:color w:val="1A2E3D"/>
          <w:sz w:val="20"/>
          <w:szCs w:val="20"/>
        </w:rPr>
        <w:t xml:space="preserve">Site Master / Job# (dropdown — all active Site Masters on the selected project)</w:t>
      </w:r>
    </w:p>
    <w:p>
      <w:pPr>
        <w:pStyle w:val="ListParagraph"/>
        <w:numPr>
          <w:ilvl w:val="0"/>
          <w:numId w:val="1"/>
        </w:numPr>
        <w:spacing w:after="40" w:before="40"/>
      </w:pPr>
      <w:r>
        <w:rPr>
          <w:rFonts w:ascii="Inter" w:cs="Inter" w:eastAsia="Inter" w:hAnsi="Inter"/>
          <w:color w:val="1A2E3D"/>
          <w:sz w:val="20"/>
          <w:szCs w:val="20"/>
        </w:rPr>
        <w:t xml:space="preserve">Employee (dropdown — active employees)</w:t>
      </w:r>
    </w:p>
    <w:p>
      <w:pPr>
        <w:pStyle w:val="ListParagraph"/>
        <w:numPr>
          <w:ilvl w:val="0"/>
          <w:numId w:val="1"/>
        </w:numPr>
        <w:spacing w:after="40" w:before="40"/>
      </w:pPr>
      <w:r>
        <w:rPr>
          <w:rFonts w:ascii="Inter" w:cs="Inter" w:eastAsia="Inter" w:hAnsi="Inter"/>
          <w:color w:val="1A2E3D"/>
          <w:sz w:val="20"/>
          <w:szCs w:val="20"/>
        </w:rPr>
        <w:t xml:space="preserve">Allocation % (e.g., 100% if full day on this site, 50% if split)</w:t>
      </w:r>
    </w:p>
    <w:p>
      <w:pPr>
        <w:pStyle w:val="ListParagraph"/>
        <w:numPr>
          <w:ilvl w:val="0"/>
          <w:numId w:val="1"/>
        </w:numPr>
        <w:spacing w:after="40" w:before="40"/>
      </w:pPr>
      <w:r>
        <w:rPr>
          <w:rFonts w:ascii="Inter" w:cs="Inter" w:eastAsia="Inter" w:hAnsi="Inter"/>
          <w:color w:val="1A2E3D"/>
          <w:sz w:val="20"/>
          <w:szCs w:val="20"/>
        </w:rPr>
        <w:t xml:space="preserve">Work Type (Field / Office / Remote / Travel Day)</w:t>
      </w:r>
    </w:p>
    <w:p>
      <w:pPr>
        <w:pStyle w:val="ListParagraph"/>
        <w:numPr>
          <w:ilvl w:val="0"/>
          <w:numId w:val="1"/>
        </w:numPr>
        <w:spacing w:after="40" w:before="40"/>
      </w:pPr>
      <w:r>
        <w:rPr>
          <w:rFonts w:ascii="Inter" w:cs="Inter" w:eastAsia="Inter" w:hAnsi="Inter"/>
          <w:color w:val="1A2E3D"/>
          <w:sz w:val="20"/>
          <w:szCs w:val="20"/>
        </w:rPr>
        <w:t xml:space="preserve">Remarks</w:t>
      </w:r>
    </w:p>
    <w:p>
      <w:pPr>
        <w:spacing w:after="80" w:before="60"/>
      </w:pPr>
      <w:r>
        <w:rPr>
          <w:rFonts w:ascii="Inter" w:cs="Inter" w:eastAsia="Inter" w:hAnsi="Inter"/>
          <w:color w:val="1A2E3D"/>
          <w:sz w:val="20"/>
          <w:szCs w:val="20"/>
        </w:rPr>
        <w:t xml:space="preserve">The system calculates: Manpower Cost = (Monthly Salary / Working Days) × Days Allocated × Allocation %. This accumulates in the Actual against the Site Master.</w:t>
      </w:r>
    </w:p>
    <w:p>
      <w:pPr>
        <w:pStyle w:val="Heading2"/>
        <w:spacing w:after="120" w:before="320"/>
      </w:pPr>
      <w:r>
        <w:rPr>
          <w:rFonts w:ascii="Inter" w:cs="Inter" w:eastAsia="Inter" w:hAnsi="Inter"/>
          <w:b/>
          <w:bCs/>
          <w:color w:val="1565C0"/>
          <w:sz w:val="26"/>
          <w:szCs w:val="26"/>
        </w:rPr>
        <w:t xml:space="preserve">5.4  Traffic Light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00"/>
      </w:tblGrid>
      <w:tr>
        <w:tc>
          <w:tcPr>
            <w:tcW w:type="dxa" w:w="1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Signal</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w:t>
            </w:r>
          </w:p>
        </w:tc>
        <w:tc>
          <w:tcPr>
            <w:tcW w:type="dxa" w:w="5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System Action</w:t>
            </w:r>
          </w:p>
        </w:tc>
      </w:tr>
      <w:tr>
        <w:tc>
          <w:tcPr>
            <w:tcW w:type="dxa" w:w="1500"/>
            <w:gridSpan w:val="1"/>
            <w:shd w:fill="E8F5E9"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GREEN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&lt; 70%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No action. Site tracking normally.</w:t>
            </w:r>
          </w:p>
        </w:tc>
      </w:tr>
      <w:tr>
        <w:tc>
          <w:tcPr>
            <w:tcW w:type="dxa" w:w="1500"/>
            <w:gridSpan w:val="1"/>
            <w:shd w:fill="FFF8E1"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AMBER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70–85%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PM. Review remaining milestone costs.</w:t>
            </w:r>
          </w:p>
        </w:tc>
      </w:tr>
      <w:tr>
        <w:tc>
          <w:tcPr>
            <w:tcW w:type="dxa" w:w="1500"/>
            <w:gridSpan w:val="1"/>
            <w:shd w:fill="FFF3E0"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ORANGE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85–95%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Dept Head. No new ACC-POs without Dept Head approval.</w:t>
            </w:r>
          </w:p>
        </w:tc>
      </w:tr>
      <w:tr>
        <w:tc>
          <w:tcPr>
            <w:tcW w:type="dxa" w:w="1500"/>
            <w:gridSpan w:val="1"/>
            <w:shd w:fill="FFEB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RED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95–100% of Budget</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Finance Director. PO issuance blocked pending review.</w:t>
            </w:r>
          </w:p>
        </w:tc>
      </w:tr>
      <w:tr>
        <w:tc>
          <w:tcPr>
            <w:tcW w:type="dxa" w:w="1500"/>
            <w:gridSpan w:val="1"/>
            <w:shd w:fill="EEEEEE"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  CRITICAL</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Actual &gt; Budget (overrun)</w:t>
            </w:r>
          </w:p>
        </w:tc>
        <w:tc>
          <w:tcPr>
            <w:tcW w:type="dxa" w:w="5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Alert to GM. All new costs require GM approval. Contractor VO claim to be explored.</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6.  Party Ledger &amp; Payment Terms</w:t>
      </w:r>
    </w:p>
    <w:p>
      <w:pPr>
        <w:pStyle w:val="Heading2"/>
        <w:spacing w:after="120" w:before="320"/>
      </w:pPr>
      <w:r>
        <w:rPr>
          <w:rFonts w:ascii="Inter" w:cs="Inter" w:eastAsia="Inter" w:hAnsi="Inter"/>
          <w:b/>
          <w:bCs/>
          <w:color w:val="1565C0"/>
          <w:sz w:val="26"/>
          <w:szCs w:val="26"/>
        </w:rPr>
        <w:t xml:space="preserve">6.1  Payment Terms — Confirmed Model</w:t>
      </w:r>
    </w:p>
    <w:p>
      <w:pPr>
        <w:pBdr>
          <w:left w:val="thick" w:color="2E7D32" w:sz="12" w:space="8"/>
        </w:pBdr>
        <w:spacing w:after="80" w:before="80"/>
        <w:ind w:left="400"/>
      </w:pPr>
      <w:r>
        <w:rPr>
          <w:rFonts w:ascii="Inter" w:cs="Inter" w:eastAsia="Inter" w:hAnsi="Inter"/>
          <w:b/>
          <w:bCs/>
          <w:color w:val="2E7D32"/>
          <w:sz w:val="18"/>
          <w:szCs w:val="18"/>
        </w:rPr>
        <w:t xml:space="preserve">✔  CONFIRMED: Payment terms are negotiated per party, by category. There is no fixed standard. Each Party List entry stores its own payment terms. Overdue alerts trigger based on the individual party's agreed terms.</w:t>
      </w:r>
    </w:p>
    <w:p>
      <w:pPr>
        <w:spacing w:after="80" w:before="60"/>
      </w:pPr>
      <w:r>
        <w:rPr>
          <w:rFonts w:ascii="Inter" w:cs="Inter" w:eastAsia="Inter" w:hAnsi="Inter"/>
          <w:color w:val="1A2E3D"/>
          <w:sz w:val="20"/>
          <w:szCs w:val="20"/>
        </w:rPr>
        <w:t xml:space="preserve">Payment terms are stored at the Party record level (in the Party List). The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00"/>
      </w:tblGrid>
      <w:tr>
        <w:tc>
          <w:tcPr>
            <w:tcW w:type="dxa" w:w="20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Category</w:t>
            </w:r>
          </w:p>
        </w:tc>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Typical Range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Stored Where</w:t>
            </w:r>
          </w:p>
        </w:tc>
        <w:tc>
          <w:tcPr>
            <w:tcW w:type="dxa" w:w="2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Overdue Alert</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(incoming PO)</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30–60 days after invoice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Contractor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Receivable overdue: invoice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SUB-CONTRACTOR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30–45 days after site completion</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Sub-Con</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completion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15–30 days after goods receipt</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Supplier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Accounts Payable overdue: GRN date + terms</w:t>
            </w:r>
          </w:p>
        </w:tc>
      </w:tr>
      <w:tr>
        <w:tc>
          <w:tcPr>
            <w:tcW w:type="dxa" w:w="20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VENDOR (general)</w:t>
            </w:r>
          </w:p>
        </w:tc>
        <w:tc>
          <w:tcPr>
            <w:tcW w:type="dxa" w:w="22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As negotiated</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Party record — Vendor</w:t>
            </w:r>
          </w:p>
        </w:tc>
        <w:tc>
          <w:tcPr>
            <w:tcW w:type="dxa" w:w="2700"/>
            <w:gridSpan w:val="1"/>
            <w:tcMar>
              <w:top w:type="dxa" w:w="60"/>
              <w:left w:type="dxa" w:w="80"/>
              <w:bottom w:type="dxa" w:w="60"/>
              <w:right w:type="dxa" w:w="80"/>
            </w:tcMar>
            <w:vAlign w:val="center"/>
          </w:tcPr>
          <w:p>
            <w:pPr>
              <w:jc w:val="left"/>
            </w:pPr>
            <w:r>
              <w:rPr>
                <w:rFonts w:ascii="Inter" w:cs="Inter" w:eastAsia="Inter" w:hAnsi="Inter"/>
                <w:b w:val="false"/>
                <w:bCs w:val="false"/>
                <w:color w:val="E65100"/>
                <w:sz w:val="16"/>
                <w:szCs w:val="16"/>
              </w:rPr>
              <w:t xml:space="preserve">Per agreed date</w:t>
            </w:r>
          </w:p>
        </w:tc>
      </w:tr>
    </w:tbl>
    <w:p>
      <w:pPr>
        <w:pStyle w:val="Heading2"/>
        <w:spacing w:after="120" w:before="320"/>
      </w:pPr>
      <w:r>
        <w:rPr>
          <w:rFonts w:ascii="Inter" w:cs="Inter" w:eastAsia="Inter" w:hAnsi="Inter"/>
          <w:b/>
          <w:bCs/>
          <w:color w:val="1565C0"/>
          <w:sz w:val="26"/>
          <w:szCs w:val="26"/>
        </w:rPr>
        <w:t xml:space="preserve">6.2  Contractor PO — Partial Payment Handling</w:t>
      </w:r>
    </w:p>
    <w:p>
      <w:pPr>
        <w:spacing w:after="80" w:before="60"/>
      </w:pPr>
      <w:r>
        <w:rPr>
          <w:rFonts w:ascii="Inter" w:cs="Inter" w:eastAsia="Inter" w:hAnsi="Inter"/>
          <w:color w:val="1A2E3D"/>
          <w:sz w:val="20"/>
          <w:szCs w:val="20"/>
        </w:rPr>
        <w:t xml:space="preserve">Contractors often pay in stages based on milestone completion (e.g., 60% on PAT, 40% on Handover). This is governed entirely by the Contractor's PO payment terms. The system handles this as follows:</w:t>
      </w:r>
    </w:p>
    <w:p>
      <w:pPr>
        <w:pStyle w:val="ListParagraph"/>
        <w:numPr>
          <w:ilvl w:val="0"/>
          <w:numId w:val="1"/>
        </w:numPr>
        <w:spacing w:after="40" w:before="40"/>
      </w:pPr>
      <w:r>
        <w:rPr>
          <w:rFonts w:ascii="Inter" w:cs="Inter" w:eastAsia="Inter" w:hAnsi="Inter"/>
          <w:color w:val="1A2E3D"/>
          <w:sz w:val="20"/>
          <w:szCs w:val="20"/>
        </w:rPr>
        <w:t xml:space="preserve">Contractor PO stores: payment schedule terms (e.g., "60% on PAT completion, 40% on handover acceptance")</w:t>
      </w:r>
    </w:p>
    <w:p>
      <w:pPr>
        <w:pStyle w:val="ListParagraph"/>
        <w:numPr>
          <w:ilvl w:val="0"/>
          <w:numId w:val="1"/>
        </w:numPr>
        <w:spacing w:after="40" w:before="40"/>
      </w:pPr>
      <w:r>
        <w:rPr>
          <w:rFonts w:ascii="Inter" w:cs="Inter" w:eastAsia="Inter" w:hAnsi="Inter"/>
          <w:color w:val="1A2E3D"/>
          <w:sz w:val="20"/>
          <w:szCs w:val="20"/>
        </w:rPr>
        <w:t xml:space="preserve">When a milestone gate is completed, the system prompts Finance: "Milestone [X] complete — SAR [amount] invoice can now be raised."</w:t>
      </w:r>
    </w:p>
    <w:p>
      <w:pPr>
        <w:pStyle w:val="ListParagraph"/>
        <w:numPr>
          <w:ilvl w:val="0"/>
          <w:numId w:val="1"/>
        </w:numPr>
        <w:spacing w:after="40" w:before="40"/>
      </w:pPr>
      <w:r>
        <w:rPr>
          <w:rFonts w:ascii="Inter" w:cs="Inter" w:eastAsia="Inter" w:hAnsi="Inter"/>
          <w:color w:val="1A2E3D"/>
          <w:sz w:val="20"/>
          <w:szCs w:val="20"/>
        </w:rPr>
        <w:t xml:space="preserve">Finance raises an invoice against the Site Master for the eligible amount.</w:t>
      </w:r>
    </w:p>
    <w:p>
      <w:pPr>
        <w:pStyle w:val="ListParagraph"/>
        <w:numPr>
          <w:ilvl w:val="0"/>
          <w:numId w:val="1"/>
        </w:numPr>
        <w:spacing w:after="40" w:before="40"/>
      </w:pPr>
      <w:r>
        <w:rPr>
          <w:rFonts w:ascii="Inter" w:cs="Inter" w:eastAsia="Inter" w:hAnsi="Inter"/>
          <w:color w:val="1A2E3D"/>
          <w:sz w:val="20"/>
          <w:szCs w:val="20"/>
        </w:rPr>
        <w:t xml:space="preserve">Revenue is recognised in the Site Master only when the invoice is raised (not on milestone completion).</w:t>
      </w:r>
    </w:p>
    <w:p>
      <w:pPr>
        <w:pStyle w:val="ListParagraph"/>
        <w:numPr>
          <w:ilvl w:val="0"/>
          <w:numId w:val="1"/>
        </w:numPr>
        <w:spacing w:after="40" w:before="40"/>
      </w:pPr>
      <w:r>
        <w:rPr>
          <w:rFonts w:ascii="Inter" w:cs="Inter" w:eastAsia="Inter" w:hAnsi="Inter"/>
          <w:color w:val="1A2E3D"/>
          <w:sz w:val="20"/>
          <w:szCs w:val="20"/>
        </w:rPr>
        <w:t xml:space="preserve">Payment receipt is recorded when the contractor remits — updating the Contractor ledger (Accounts Receivable).</w:t>
      </w:r>
    </w:p>
    <w:p>
      <w:pPr>
        <w:pStyle w:val="Heading2"/>
        <w:spacing w:after="120" w:before="320"/>
      </w:pPr>
      <w:r>
        <w:rPr>
          <w:rFonts w:ascii="Inter" w:cs="Inter" w:eastAsia="Inter" w:hAnsi="Inter"/>
          <w:b/>
          <w:bCs/>
          <w:color w:val="1565C0"/>
          <w:sz w:val="26"/>
          <w:szCs w:val="26"/>
        </w:rPr>
        <w:t xml:space="preserve">6.3  Three Ledgers — Automatic Updates</w:t>
      </w:r>
    </w:p>
    <w:p>
      <w:pPr>
        <w:spacing w:after="80" w:before="60"/>
      </w:pPr>
      <w:r>
        <w:rPr>
          <w:rFonts w:ascii="Inter" w:cs="Inter" w:eastAsia="Inter" w:hAnsi="Inter"/>
          <w:color w:val="1A2E3D"/>
          <w:sz w:val="20"/>
          <w:szCs w:val="20"/>
        </w:rPr>
        <w:t xml:space="preserve">Every financial transaction in the system updates one of three ledgers in real time: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0"/>
      </w:tblGrid>
      <w:tr>
        <w:tc>
          <w:tcPr>
            <w:tcW w:type="dxa" w:w="22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Ledger</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Triggered By</w:t>
            </w:r>
          </w:p>
        </w:tc>
        <w:tc>
          <w:tcPr>
            <w:tcW w:type="dxa" w:w="47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Entries</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Ledger (AR)</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Invoice raised against Site Master</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Invoice Amount → Contractor; CR Revenue. On payment receipt: DR Bank, CR Contractor.</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Sub-Con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issued to Sub-Con</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Sub-Con Cost (on PO issue). On payment: DR Sub-Con, CR Bank. Overdue shown after terms date.</w:t>
            </w:r>
          </w:p>
        </w:tc>
      </w:tr>
      <w:tr>
        <w:tc>
          <w:tcPr>
            <w:tcW w:type="dxa" w:w="2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Supplier Ledger (AP)</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ACC-PO + Goods Receipt</w:t>
            </w:r>
          </w:p>
        </w:tc>
        <w:tc>
          <w:tcPr>
            <w:tcW w:type="dxa" w:w="4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DR Cost on GRN date (not PO date). On payment: DR Supplier, CR Bank. Overdue by GRN date +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7.  Site Master Form — Final Field Specification</w:t>
      </w:r>
    </w:p>
    <w:p>
      <w:pPr>
        <w:pStyle w:val="Heading2"/>
        <w:spacing w:after="120" w:before="320"/>
      </w:pPr>
      <w:r>
        <w:rPr>
          <w:rFonts w:ascii="Inter" w:cs="Inter" w:eastAsia="Inter" w:hAnsi="Inter"/>
          <w:b/>
          <w:bCs/>
          <w:color w:val="1565C0"/>
          <w:sz w:val="26"/>
          <w:szCs w:val="26"/>
        </w:rPr>
        <w:t xml:space="preserve">7.1  Header Fields (all units)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Field</w:t>
            </w:r>
          </w:p>
        </w:tc>
        <w:tc>
          <w:tcPr>
            <w:tcW w:type="dxa" w:w="1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Type</w:t>
            </w:r>
          </w:p>
        </w:tc>
        <w:tc>
          <w:tcPr>
            <w:tcW w:type="dxa" w:w="51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Rules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SM-ID</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 (read-only)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Format SM-[UNIT]-[YY]-[SEQ]. Generated on create. Non-editable.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Client Job# / RFC#</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Optional — contractor-provided reference. Cross-linked to SM-ID. Searchable.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Service Unit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 TISU / CISU / ITSU. Determines milestone set shown below.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Work Type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(CISU only)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MW Links / Node Installation / Camera / Door Access / Data Centre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Project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Linked 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From Projects table. Sets entity + contractor context.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SOW# / Charter# (NISU/ITSU)</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NISU: Statement of Work#. ITSU: Charter reference.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BOQ Model (NISU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PE-Agg Model-1 / Model-2 / custom — determines unit revenue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Type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4-Leg / Monopole / Tri-Leg</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Tower Height (TISU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30m / 45m / 60m / 75m / 90m</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End Client</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STC / TAWAL / Mobily / Zain</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(Party List)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CONTRACTOR type only — Nokia / Huawei / Cisco / ZTE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Free text + Amount</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Revenue ceiling for this SM. Linked to incoming PO record.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Type (ITSU only)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Per Device / Fixed Price / Per Engineer-Day / Per Milestone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Region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Riyadh / Jeddah / Eastern / Makkah / Madinah / Other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Status</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Open / Survey / Active / On Hold / PAT / Completed / Invoiced / Closed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Start Date</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Target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Used for schedule variance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Actual Completion</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Date DD/MM/YYYY</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Auto-set when final milestone is checked Done</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PM</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PM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Our Supervisor</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Dropdown (Employees)</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Ratal Supervisor from employee list</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Created By</w:t>
            </w:r>
          </w:p>
        </w:tc>
        <w:tc>
          <w:tcPr>
            <w:tcW w:type="dxa" w:w="1800"/>
            <w:gridSpan w:val="1"/>
            <w:tcMar>
              <w:top w:type="dxa" w:w="60"/>
              <w:left w:type="dxa" w:w="80"/>
              <w:bottom w:type="dxa" w:w="60"/>
              <w:right w:type="dxa" w:w="80"/>
            </w:tcMar>
            <w:vAlign w:val="center"/>
          </w:tcPr>
          <w:p>
            <w:pPr>
              <w:jc w:val="left"/>
            </w:pPr>
            <w:r>
              <w:rPr>
                <w:rFonts w:ascii="Inter" w:cs="Inter" w:eastAsia="Inter" w:hAnsi="Inter"/>
                <w:b w:val="false"/>
                <w:bCs w:val="false"/>
                <w:color w:val="1565C0"/>
                <w:sz w:val="18"/>
                <w:szCs w:val="18"/>
              </w:rPr>
              <w:t xml:space="preserve">Auto</w:t>
            </w:r>
          </w:p>
        </w:tc>
        <w:tc>
          <w:tcPr>
            <w:tcW w:type="dxa" w:w="5100"/>
            <w:gridSpan w:val="1"/>
            <w:tcMar>
              <w:top w:type="dxa" w:w="60"/>
              <w:left w:type="dxa" w:w="80"/>
              <w:bottom w:type="dxa" w:w="60"/>
              <w:right w:type="dxa" w:w="80"/>
            </w:tcMar>
            <w:vAlign w:val="center"/>
          </w:tcPr>
          <w:p>
            <w:pPr>
              <w:jc w:val="left"/>
            </w:pPr>
            <w:r>
              <w:rPr>
                <w:rFonts w:ascii="Inter" w:cs="Inter" w:eastAsia="Inter" w:hAnsi="Inter"/>
                <w:b w:val="false"/>
                <w:bCs w:val="false"/>
                <w:color w:val="555555"/>
                <w:sz w:val="16"/>
                <w:szCs w:val="16"/>
              </w:rPr>
              <w:t xml:space="preserve">Logged-in user</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7.2  Budget Section Fields</w:t>
      </w:r>
    </w:p>
    <w:p>
      <w:pPr>
        <w:spacing w:after="80" w:before="60"/>
      </w:pPr>
      <w:r>
        <w:rPr>
          <w:rFonts w:ascii="Inter" w:cs="Inter" w:eastAsia="Inter" w:hAnsi="Inter"/>
          <w:color w:val="1A2E3D"/>
          <w:sz w:val="20"/>
          <w:szCs w:val="20"/>
        </w:rPr>
        <w:t xml:space="preserve">Filled by PM / Dept Head. Locked after approval. Budget vs Actual shown side-by-side. Categories adapt to the Service Unit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600"/>
      </w:tblGrid>
      <w:tr>
        <w:tc>
          <w:tcPr>
            <w:tcW w:type="dxa" w:w="28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Category</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Budget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Actual SAR</w:t>
            </w:r>
          </w:p>
        </w:tc>
        <w:tc>
          <w:tcPr>
            <w:tcW w:type="dxa" w:w="13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Variance</w:t>
            </w:r>
          </w:p>
        </w:tc>
        <w:tc>
          <w:tcPr>
            <w:tcW w:type="dxa" w:w="26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Applies To</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Excavation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Compaction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Foundation &amp; Lean Concrete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Tower Erection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Fencing</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Testing &amp; Certification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 / CISU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Transportation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MW / Antenna Works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 Links</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Sub-Con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Passive (cables, ODF, CBs)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NISU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Civil (steel, concrete, gravel)</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TISU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RF / Waveguide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CISU MW</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Materials — Other</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Internal (from daily allocation)</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Manpower — ITSU Engineer-Days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ITSU</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Food Allowance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Site Expenses</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w:t>
            </w:r>
          </w:p>
        </w:tc>
      </w:tr>
      <w:tr>
        <w:tc>
          <w:tcPr>
            <w:tcW w:type="dxa" w:w="28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Overhead / Margin Provision (%)</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1565C0"/>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2E7D32"/>
                <w:sz w:val="18"/>
                <w:szCs w:val="18"/>
              </w:rPr>
              <w:t xml:space="preserve">—</w:t>
            </w:r>
          </w:p>
        </w:tc>
        <w:tc>
          <w:tcPr>
            <w:tcW w:type="dxa" w:w="1300"/>
            <w:gridSpan w:val="1"/>
            <w:tcMar>
              <w:top w:type="dxa" w:w="60"/>
              <w:left w:type="dxa" w:w="80"/>
              <w:bottom w:type="dxa" w:w="60"/>
              <w:right w:type="dxa" w:w="80"/>
            </w:tcMar>
            <w:vAlign w:val="center"/>
          </w:tcPr>
          <w:p>
            <w:pPr>
              <w:jc w:val="right"/>
            </w:pPr>
            <w:r>
              <w:rPr>
                <w:rFonts w:ascii="Inter" w:cs="Inter" w:eastAsia="Inter" w:hAnsi="Inter"/>
                <w:b w:val="false"/>
                <w:bCs w:val="false"/>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All — % configurable per project</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TOTAL BUDGET COST</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Auto-sum</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Contractor PO — Revenue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From PO field; read-only here</w:t>
            </w:r>
          </w:p>
        </w:tc>
      </w:tr>
      <w:tr>
        <w:tc>
          <w:tcPr>
            <w:tcW w:type="dxa" w:w="2800"/>
            <w:gridSpan w:val="1"/>
            <w:shd w:fill="E3F2FD"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BUDGETED MARGIN (SAR / %)</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1565C0"/>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2E7D32"/>
                <w:sz w:val="18"/>
                <w:szCs w:val="18"/>
              </w:rPr>
              <w:t xml:space="preserve">—</w:t>
            </w:r>
          </w:p>
        </w:tc>
        <w:tc>
          <w:tcPr>
            <w:tcW w:type="dxa" w:w="1300"/>
            <w:gridSpan w:val="1"/>
            <w:shd w:fill="E3F2FD" w:color="auto" w:val="clear"/>
            <w:tcMar>
              <w:top w:type="dxa" w:w="60"/>
              <w:left w:type="dxa" w:w="80"/>
              <w:bottom w:type="dxa" w:w="60"/>
              <w:right w:type="dxa" w:w="80"/>
            </w:tcMar>
            <w:vAlign w:val="center"/>
          </w:tcPr>
          <w:p>
            <w:pPr>
              <w:jc w:val="right"/>
            </w:pPr>
            <w:r>
              <w:rPr>
                <w:rFonts w:ascii="Inter" w:cs="Inter" w:eastAsia="Inter" w:hAnsi="Inter"/>
                <w:b/>
                <w:bCs/>
                <w:color w:val="E65100"/>
                <w:sz w:val="18"/>
                <w:szCs w:val="18"/>
              </w:rPr>
              <w:t xml:space="preserve">—</w:t>
            </w:r>
          </w:p>
        </w:tc>
        <w:tc>
          <w:tcPr>
            <w:tcW w:type="dxa" w:w="2600"/>
            <w:gridSpan w:val="1"/>
            <w:tcMar>
              <w:top w:type="dxa" w:w="60"/>
              <w:left w:type="dxa" w:w="80"/>
              <w:bottom w:type="dxa" w:w="60"/>
              <w:right w:type="dxa" w:w="80"/>
            </w:tcMar>
            <w:vAlign w:val="center"/>
          </w:tcPr>
          <w:p>
            <w:pPr>
              <w:jc w:val="left"/>
            </w:pPr>
            <w:r>
              <w:rPr>
                <w:rFonts w:ascii="Inter" w:cs="Inter" w:eastAsia="Inter" w:hAnsi="Inter"/>
                <w:b w:val="false"/>
                <w:bCs w:val="false"/>
                <w:color w:val="888888"/>
                <w:sz w:val="16"/>
                <w:szCs w:val="16"/>
              </w:rPr>
              <w:t xml:space="preserve">Revenue minus Total Cost</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8.  Confirmed Decisions — Full Q&amp;A Record</w:t>
      </w:r>
    </w:p>
    <w:p>
      <w:pPr>
        <w:spacing w:after="80" w:before="60"/>
      </w:pPr>
      <w:r>
        <w:rPr>
          <w:rFonts w:ascii="Inter" w:cs="Inter" w:eastAsia="Inter" w:hAnsi="Inter"/>
          <w:color w:val="1A2E3D"/>
          <w:sz w:val="20"/>
          <w:szCs w:val="20"/>
        </w:rPr>
        <w:t xml:space="preserve">This section records all 10 open questions from v1.0 and their confirmed answers, for permanent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00"/>
      </w:tblGrid>
      <w:tr>
        <w:tc>
          <w:tcPr>
            <w:tcW w:type="dxa" w:w="4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32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Question</w:t>
            </w:r>
          </w:p>
        </w:tc>
        <w:tc>
          <w:tcPr>
            <w:tcW w:type="dxa" w:w="5700"/>
            <w:gridSpan w:val="1"/>
            <w:shd w:fill="2E7D32"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Confirmed Answer</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NISU: does one Job# always map to exactly one BOQ model type?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YES — each Job# has its own BOQ. Therefore 1 Job# = 1 BOQ model = 1 Site Master. The Contractor PO covers all quantities of a model type; individual Job# references are the per-site identifiers.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TISU: one PO per tower, or cluster POs?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One PO per tower. 1 Tower = 1 PO = 1 Site Master. Cluster POs may be considered in future but are not currently in use.</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billing milestone for MW links?</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link commissioned within a cluster PO period. CISU also covers Node installations (bulk qty — e.g., SBM 8,000 nodes), Camera installations (unit qty), Door Access (unit qty), and Data Centre infrastructure (milestone/deliverable). All billing follows contractor PO quantity and payment terms. PM tracks authority approvals.</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ITSU: billing per device, per project, or per engineer-day?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Billing per Charter (SOW). Each Charter defines the billing mechanism — this varies by client (per device, fixed price, per engineer-day, or per milestone). System stores billing type on the Site Master and applies accordingly.</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Overhead: fixed % of revenue or fixed SAR per unit?</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Margin must be built into the budget. Specific overhead % is to be defined per project by the PM / Finance at budget time. Field: "Overhead / Margin Provision (%)" — configurable per Site Master. System calculates actual margin automatically.</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Payroll allocation: timesheet, fixed allocation, or PM decides?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decides daily, using the Daily Manpower Allocation Form. PM assigns each team member to a Site Master / Job# reference. If a client Job# exists, that is used. If not, the system-generated SM reference is used. Allocation % per day is PM-controlled.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Variation Orders: additive or deductive?</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Any variation is tracked in the Actual — not added to the budget. Budget is locked once approved. A locked budget vs actual comparison is the correct way to measure variation (cost overrun = unplanned actual cost). If the Contractor issues a VO (additional revenue), a new PO line is added and a separate VO budget line is created — clearly labelled, not merged into the original budget.</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CISU authority approvals: who tracks permit status?</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PM tracks all authority permit status for CISU. Permit status is a blocking milestone in the Site Master — next activity cannot proceed until permit is marked as received. PM updates this field.</w:t>
            </w:r>
          </w:p>
        </w:tc>
      </w:tr>
      <w:tr>
        <w:tc>
          <w:tcPr>
            <w:tcW w:type="dxa" w:w="400"/>
            <w:gridSpan w:val="1"/>
            <w:shd w:fill="F5FFF7"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3200"/>
            <w:gridSpan w:val="1"/>
            <w:shd w:fill="F5FFF7" w:color="auto" w:val="clear"/>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Partial payment from contractor: how is it handled?</w:t>
            </w:r>
          </w:p>
        </w:tc>
        <w:tc>
          <w:tcPr>
            <w:tcW w:type="dxa" w:w="5700"/>
            <w:gridSpan w:val="1"/>
            <w:shd w:fill="F5FFF7" w:color="auto" w:val="clear"/>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Based on Contractor's PO payment terms. Contractor POs (incoming) are stored under the Purchase Orders tab. The PO record stores the payment schedule (e.g., 60% on PAT, 40% on Handover). When a milestone gate is completed, Finance is prompted to raise the eligible invoice amount. Ratal outgoing POs use format ACC-PO-XXXX + date.</w:t>
            </w:r>
          </w:p>
        </w:tc>
      </w:tr>
      <w:tr>
        <w:tc>
          <w:tcPr>
            <w:tcW w:type="dxa" w:w="400"/>
            <w:gridSpan w:val="1"/>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10</w:t>
            </w:r>
          </w:p>
        </w:tc>
        <w:tc>
          <w:tcPr>
            <w:tcW w:type="dxa" w:w="32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Payment terms: standard across all parties or per party?</w:t>
            </w:r>
          </w:p>
        </w:tc>
        <w:tc>
          <w:tcPr>
            <w:tcW w:type="dxa" w:w="57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Per party, by category — not a fixed standard. Payment terms are stored at the individual Party record level in the Party List. Categories have typical ranges but each party negotiates individually. Overdue alerts trigger based on each party's specific agreed terms.</w:t>
            </w:r>
          </w:p>
        </w:tc>
      </w:tr>
    </w:tbl>
    <w:p>
      <w:pPr>
        <w:spacing w:after="80" w:before="80"/>
      </w:pPr>
      <w:r>
        <w:t xml:space="preserve"/>
      </w:r>
    </w:p>
    <w:p>
      <w:r>
        <w:br w:type="page"/>
      </w:r>
    </w:p>
    <w:p>
      <w:pPr>
        <w:pStyle w:val="Heading1"/>
        <w:pBdr>
          <w:bottom w:val="single" w:color="1565C0" w:sz="4" w:space="4"/>
        </w:pBdr>
        <w:spacing w:after="160" w:before="400"/>
      </w:pPr>
      <w:r>
        <w:rPr>
          <w:rFonts w:ascii="Inter" w:cs="Inter" w:eastAsia="Inter" w:hAnsi="Inter"/>
          <w:b/>
          <w:bCs/>
          <w:color w:val="1A2E3D"/>
          <w:sz w:val="32"/>
          <w:szCs w:val="32"/>
        </w:rPr>
        <w:t xml:space="preserve">9.  Sidebar Navigation &amp; Enhancement Inputs</w:t>
      </w:r>
    </w:p>
    <w:p>
      <w:pPr>
        <w:pStyle w:val="Heading2"/>
        <w:spacing w:after="120" w:before="320"/>
      </w:pPr>
      <w:r>
        <w:rPr>
          <w:rFonts w:ascii="Inter" w:cs="Inter" w:eastAsia="Inter" w:hAnsi="Inter"/>
          <w:b/>
          <w:bCs/>
          <w:color w:val="1565C0"/>
          <w:sz w:val="26"/>
          <w:szCs w:val="26"/>
        </w:rPr>
        <w:t xml:space="preserve">9.1  Sidebar Entry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00"/>
      </w:tblGrid>
      <w:tr>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Group</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Menu Item</w:t>
            </w:r>
          </w:p>
        </w:tc>
        <w:tc>
          <w:tcPr>
            <w:tcW w:type="dxa" w:w="4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Projects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All with Corporate access</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PROJECT_MANAGER</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NISU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TISU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TISU-specific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CISU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CISU-specific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 ITSU Filter</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ITSU-specific view</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Party List</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w:t>
            </w:r>
          </w:p>
        </w:tc>
      </w:tr>
      <w:tr>
        <w:tc>
          <w:tcPr>
            <w:tcW w:type="dxa" w:w="2400"/>
            <w:gridSpan w:val="1"/>
            <w:tcMar>
              <w:top w:type="dxa" w:w="60"/>
              <w:left w:type="dxa" w:w="80"/>
              <w:bottom w:type="dxa" w:w="60"/>
              <w:right w:type="dxa" w:w="80"/>
            </w:tcMar>
            <w:vAlign w:val="center"/>
          </w:tcPr>
          <w:p>
            <w:pPr>
              <w:jc w:val="left"/>
            </w:pPr>
            <w:r>
              <w:rPr>
                <w:rFonts w:ascii="Inter" w:cs="Inter" w:eastAsia="Inter" w:hAnsi="Inter"/>
                <w:b/>
                <w:bCs/>
                <w:color w:val="1565C0"/>
                <w:sz w:val="18"/>
                <w:szCs w:val="18"/>
              </w:rPr>
              <w:t xml:space="preserve">Corporate</w:t>
            </w:r>
          </w:p>
        </w:tc>
        <w:tc>
          <w:tcPr>
            <w:tcW w:type="dxa" w:w="2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8"/>
                <w:szCs w:val="18"/>
              </w:rPr>
              <w:t xml:space="preserve">Purchase Orders</w:t>
            </w:r>
          </w:p>
        </w:tc>
        <w:tc>
          <w:tcPr>
            <w:tcW w:type="dxa" w:w="45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SUPERADMIN, ADMIN, DEPT_HEAD, FIN</w:t>
            </w:r>
          </w:p>
        </w:tc>
      </w:tr>
    </w:tbl>
    <w:p>
      <w:pPr>
        <w:spacing w:after="80" w:before="80"/>
      </w:pPr>
      <w:r>
        <w:t xml:space="preserve"/>
      </w:r>
    </w:p>
    <w:p>
      <w:pPr>
        <w:pStyle w:val="Heading2"/>
        <w:spacing w:after="120" w:before="320"/>
      </w:pPr>
      <w:r>
        <w:rPr>
          <w:rFonts w:ascii="Inter" w:cs="Inter" w:eastAsia="Inter" w:hAnsi="Inter"/>
          <w:b/>
          <w:bCs/>
          <w:color w:val="1565C0"/>
          <w:sz w:val="26"/>
          <w:szCs w:val="26"/>
        </w:rPr>
        <w:t xml:space="preserve">9.2  Enhancement Inputs (Unchanged from v1.0)</w:t>
      </w:r>
    </w:p>
    <w:p>
      <w:pPr>
        <w:pStyle w:val="ListParagraph"/>
        <w:numPr>
          <w:ilvl w:val="0"/>
          <w:numId w:val="1"/>
        </w:numPr>
        <w:spacing w:after="40" w:before="40"/>
      </w:pPr>
      <w:r>
        <w:rPr>
          <w:rFonts w:ascii="Inter" w:cs="Inter" w:eastAsia="Inter" w:hAnsi="Inter"/>
          <w:color w:val="1A2E3D"/>
          <w:sz w:val="20"/>
          <w:szCs w:val="20"/>
        </w:rPr>
        <w:t xml:space="preserve">Milestone-Gated Invoicing: System blocks invoice creation until all gate milestones are marked Done with a document uploaded.</w:t>
      </w:r>
    </w:p>
    <w:p>
      <w:pPr>
        <w:pStyle w:val="ListParagraph"/>
        <w:numPr>
          <w:ilvl w:val="0"/>
          <w:numId w:val="1"/>
        </w:numPr>
        <w:spacing w:after="40" w:before="40"/>
      </w:pPr>
      <w:r>
        <w:rPr>
          <w:rFonts w:ascii="Inter" w:cs="Inter" w:eastAsia="Inter" w:hAnsi="Inter"/>
          <w:color w:val="1A2E3D"/>
          <w:sz w:val="20"/>
          <w:szCs w:val="20"/>
        </w:rPr>
        <w:t xml:space="preserve">Sub-Contractor Performance Rating: PM rates sub-con on quality, timeliness, safety, and pricing after each site — scores visible when assigning sub-cons to new Site Masters.</w:t>
      </w:r>
    </w:p>
    <w:p>
      <w:pPr>
        <w:pStyle w:val="ListParagraph"/>
        <w:numPr>
          <w:ilvl w:val="0"/>
          <w:numId w:val="1"/>
        </w:numPr>
        <w:spacing w:after="40" w:before="40"/>
      </w:pPr>
      <w:r>
        <w:rPr>
          <w:rFonts w:ascii="Inter" w:cs="Inter" w:eastAsia="Inter" w:hAnsi="Inter"/>
          <w:color w:val="1A2E3D"/>
          <w:sz w:val="20"/>
          <w:szCs w:val="20"/>
        </w:rPr>
        <w:t xml:space="preserve">Material Quantity Tracking: Budget stores quantity + unit price (not just total). Goods receipt records actual quantity. Wastage = ordered − installed, tracked per site.</w:t>
      </w:r>
    </w:p>
    <w:p>
      <w:pPr>
        <w:pStyle w:val="ListParagraph"/>
        <w:numPr>
          <w:ilvl w:val="0"/>
          <w:numId w:val="1"/>
        </w:numPr>
        <w:spacing w:after="40" w:before="40"/>
      </w:pPr>
      <w:r>
        <w:rPr>
          <w:rFonts w:ascii="Inter" w:cs="Inter" w:eastAsia="Inter" w:hAnsi="Inter"/>
          <w:color w:val="1A2E3D"/>
          <w:sz w:val="20"/>
          <w:szCs w:val="20"/>
        </w:rPr>
        <w:t xml:space="preserve">Cashflow Projection: Expected invoice date (milestone plan) vs sub-con/supplier payment due dates. Gap = site-level cashflow exposure. Aggregate = company cashflow requirement.</w:t>
      </w:r>
    </w:p>
    <w:p>
      <w:pPr>
        <w:pStyle w:val="ListParagraph"/>
        <w:numPr>
          <w:ilvl w:val="0"/>
          <w:numId w:val="1"/>
        </w:numPr>
        <w:spacing w:after="40" w:before="40"/>
      </w:pPr>
      <w:r>
        <w:rPr>
          <w:rFonts w:ascii="Inter" w:cs="Inter" w:eastAsia="Inter" w:hAnsi="Inter"/>
          <w:color w:val="1A2E3D"/>
          <w:sz w:val="20"/>
          <w:szCs w:val="20"/>
        </w:rPr>
        <w:t xml:space="preserve">PAT Document Repository: Required document types per milestone. A milestone cannot be marked Done without a document uploaded. Visible to Finance before invoicing.</w:t>
      </w:r>
    </w:p>
    <w:p>
      <w:pPr>
        <w:pStyle w:val="ListParagraph"/>
        <w:numPr>
          <w:ilvl w:val="0"/>
          <w:numId w:val="1"/>
        </w:numPr>
        <w:spacing w:after="40" w:before="40"/>
      </w:pPr>
      <w:r>
        <w:rPr>
          <w:rFonts w:ascii="Inter" w:cs="Inter" w:eastAsia="Inter" w:hAnsi="Inter"/>
          <w:color w:val="1A2E3D"/>
          <w:sz w:val="20"/>
          <w:szCs w:val="20"/>
        </w:rPr>
        <w:t xml:space="preserve">Payment Terms Ledger Integration: Sub-Con/Supplier ledgers auto-update on PO issue and payment. Contractor (AR) ledger auto-updates on invoice and payment receipt.</w:t>
      </w:r>
    </w:p>
    <w:p>
      <w:pPr>
        <w:spacing w:after="80" w:before="80"/>
      </w:pPr>
      <w:r>
        <w:t xml:space="preserve"/>
      </w:r>
    </w:p>
    <w:p>
      <w:pPr>
        <w:pStyle w:val="Heading1"/>
        <w:pBdr>
          <w:bottom w:val="single" w:color="1565C0" w:sz="4" w:space="4"/>
        </w:pBdr>
        <w:spacing w:after="160" w:before="400"/>
      </w:pPr>
      <w:r>
        <w:rPr>
          <w:rFonts w:ascii="Inter" w:cs="Inter" w:eastAsia="Inter" w:hAnsi="Inter"/>
          <w:b/>
          <w:bCs/>
          <w:color w:val="1A2E3D"/>
          <w:sz w:val="32"/>
          <w:szCs w:val="32"/>
        </w:rPr>
        <w:t xml:space="preserve">10.  Next Steps — Ready to Code</w:t>
      </w:r>
    </w:p>
    <w:p>
      <w:pPr>
        <w:spacing w:after="80" w:before="60"/>
      </w:pPr>
      <w:r>
        <w:rPr>
          <w:rFonts w:ascii="Inter" w:cs="Inter" w:eastAsia="Inter" w:hAnsi="Inter"/>
          <w:color w:val="1A2E3D"/>
          <w:sz w:val="20"/>
          <w:szCs w:val="20"/>
        </w:rPr>
        <w:t xml:space="preserve">All open questions are resolved. The following sequence is recommended for the coding phase: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00"/>
      </w:tblGrid>
      <w:tr>
        <w:tc>
          <w:tcPr>
            <w:tcW w:type="dxa" w:w="5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w:t>
            </w:r>
          </w:p>
        </w:tc>
        <w:tc>
          <w:tcPr>
            <w:tcW w:type="dxa" w:w="2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Step</w:t>
            </w:r>
          </w:p>
        </w:tc>
        <w:tc>
          <w:tcPr>
            <w:tcW w:type="dxa" w:w="6400"/>
            <w:gridSpan w:val="1"/>
            <w:shd w:fill="1565C0" w:color="auto" w:val="clear"/>
            <w:tcMar>
              <w:top w:type="dxa" w:w="60"/>
              <w:left w:type="dxa" w:w="80"/>
              <w:bottom w:type="dxa" w:w="60"/>
              <w:right w:type="dxa" w:w="80"/>
            </w:tcMar>
            <w:vAlign w:val="center"/>
          </w:tcPr>
          <w:p>
            <w:pPr>
              <w:jc w:val="left"/>
            </w:pPr>
            <w:r>
              <w:rPr>
                <w:rFonts w:ascii="Inter" w:cs="Inter" w:eastAsia="Inter" w:hAnsi="Inter"/>
                <w:b/>
                <w:bCs/>
                <w:color w:val="FFFFFF"/>
                <w:sz w:val="18"/>
                <w:szCs w:val="18"/>
              </w:rPr>
              <w:t xml:space="preserve">Scope</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1</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SQL Migration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Add site_masters table + daily_allocations table + update purchase_orders for ACC-PO-XXXX pattern and incoming/outgoing distinction. Add SM# reference column to expenses, overtime_requests, food_allowances, money_requests.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2</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Build form per §7. Service Unit selector dynamically shows/hides fields. Auto-generate SM-ID. Link to Project + Contractor PO.</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3</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Milestone Module</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Milestone checklist adapts to unit type. Gate enforcement. Document upload per milestone. Invoice prompt on gate completion.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4</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Budget Section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Budget form with lock-on-approval workflow. Side-by-side Budget vs Actual. Traffic light dashboard.</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5</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ACC-PO Integration</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Outgoing PO form: ACC-PO-XXXX numbering. Link each PO to a Site Master. PO issue updates sub-con/supplier ledger.</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6</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Daily Allocation Form</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New form: Date + Project + SM/Job# + Employee + Allocation % + Work Type. Monthly payroll apportionment calculation.</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7</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Ledger Views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Contractor AR view, Sub-Con AP view, Supplier AP view. Overdue alerts per party terms. Aged payables report.</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8</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Site Master List View</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Filter by unit / status / project / traffic light. Summary cards at top. Sortable columns.</w:t>
            </w:r>
          </w:p>
        </w:tc>
      </w:tr>
      <w:tr>
        <w:tc>
          <w:tcPr>
            <w:tcW w:type="dxa" w:w="500"/>
            <w:gridSpan w:val="1"/>
            <w:shd w:fill="E3F2FD" w:color="auto" w:val="clear"/>
            <w:tcMar>
              <w:top w:type="dxa" w:w="60"/>
              <w:left w:type="dxa" w:w="80"/>
              <w:bottom w:type="dxa" w:w="60"/>
              <w:right w:type="dxa" w:w="80"/>
            </w:tcMar>
            <w:vAlign w:val="center"/>
          </w:tcPr>
          <w:p>
            <w:pPr>
              <w:jc w:val="center"/>
            </w:pPr>
            <w:r>
              <w:rPr>
                <w:rFonts w:ascii="Inter" w:cs="Inter" w:eastAsia="Inter" w:hAnsi="Inter"/>
                <w:b/>
                <w:bCs/>
                <w:color w:val="1A2E3D"/>
                <w:sz w:val="18"/>
                <w:szCs w:val="18"/>
              </w:rPr>
              <w:t xml:space="preserve">9</w:t>
            </w:r>
          </w:p>
        </w:tc>
        <w:tc>
          <w:tcPr>
            <w:tcW w:type="dxa" w:w="2400"/>
            <w:gridSpan w:val="1"/>
            <w:tcMar>
              <w:top w:type="dxa" w:w="60"/>
              <w:left w:type="dxa" w:w="80"/>
              <w:bottom w:type="dxa" w:w="60"/>
              <w:right w:type="dxa" w:w="80"/>
            </w:tcMar>
            <w:vAlign w:val="center"/>
          </w:tcPr>
          <w:p>
            <w:pPr>
              <w:jc w:val="left"/>
            </w:pPr>
            <w:r>
              <w:rPr>
                <w:rFonts w:ascii="Inter" w:cs="Inter" w:eastAsia="Inter" w:hAnsi="Inter"/>
                <w:b/>
                <w:bCs/>
                <w:color w:val="1A2E3D"/>
                <w:sz w:val="18"/>
                <w:szCs w:val="18"/>
              </w:rPr>
              <w:t xml:space="preserve">Reports</w:t>
            </w:r>
          </w:p>
        </w:tc>
        <w:tc>
          <w:tcPr>
            <w:tcW w:type="dxa" w:w="6400"/>
            <w:gridSpan w:val="1"/>
            <w:tcMar>
              <w:top w:type="dxa" w:w="60"/>
              <w:left w:type="dxa" w:w="80"/>
              <w:bottom w:type="dxa" w:w="60"/>
              <w:right w:type="dxa" w:w="80"/>
            </w:tcMar>
            <w:vAlign w:val="center"/>
          </w:tcPr>
          <w:p>
            <w:pPr>
              <w:jc w:val="left"/>
            </w:pPr>
            <w:r>
              <w:rPr>
                <w:rFonts w:ascii="Inter" w:cs="Inter" w:eastAsia="Inter" w:hAnsi="Inter"/>
                <w:b w:val="false"/>
                <w:bCs w:val="false"/>
                <w:color w:val="1A2E3D"/>
                <w:sz w:val="16"/>
                <w:szCs w:val="16"/>
              </w:rPr>
              <w:t xml:space="preserve">Site Master P&amp;L (per site). Project roll-up P&amp;L. Overdue ledger. Budget burn report. Cashflow projection.</w:t>
            </w:r>
          </w:p>
        </w:tc>
      </w:tr>
    </w:tbl>
    <w:p>
      <w:pPr>
        <w:spacing w:after="80" w:before="80"/>
      </w:pPr>
      <w:r>
        <w:t xml:space="preserve"/>
      </w:r>
    </w:p>
    <w:p>
      <w:pPr>
        <w:pBdr>
          <w:top w:val="single" w:color="DDDDDD" w:sz="4"/>
        </w:pBdr>
        <w:spacing w:after="0" w:before="400"/>
        <w:jc w:val="center"/>
      </w:pPr>
      <w:r>
        <w:rPr>
          <w:rFonts w:ascii="Inter" w:cs="Inter" w:eastAsia="Inter" w:hAnsi="Inter"/>
          <w:i/>
          <w:iCs/>
          <w:color w:val="999999"/>
          <w:sz w:val="16"/>
          <w:szCs w:val="16"/>
        </w:rPr>
        <w:t xml:space="preserve">Ratal Group — Site Master Framework v2.0  |  All Questions Resolved  |  July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2026-07-13T05:46:43.305Z</dcterms:created>
  <dcterms:modified xsi:type="dcterms:W3CDTF">2026-07-13T05:46:43.312Z</dcterms:modified>
</cp:coreProperties>
</file>

<file path=docProps/custom.xml><?xml version="1.0" encoding="utf-8"?>
<Properties xmlns="http://schemas.openxmlformats.org/officeDocument/2006/custom-properties" xmlns:vt="http://schemas.openxmlformats.org/officeDocument/2006/docPropsVTypes"/>
</file>