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b/>
          <w:bCs/>
          <w:sz w:val="32"/>
          <w:szCs w:val="32"/>
        </w:rPr>
      </w:pPr>
      <w:r>
        <w:rPr>
          <w:rFonts w:hint="cs"/>
          <w:b/>
          <w:b/>
          <w:bCs/>
          <w:sz w:val="32"/>
          <w:szCs w:val="32"/>
          <w:rtl w:val="true"/>
        </w:rPr>
        <w:t>ملف الشركة</w:t>
      </w:r>
    </w:p>
    <w:p>
      <w:pPr>
        <w:pStyle w:val="Normal"/>
        <w:bidi w:val="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Company Profile</w:t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>
          <w:b/>
          <w:bCs/>
          <w:sz w:val="28"/>
          <w:szCs w:val="28"/>
        </w:rPr>
      </w:pPr>
      <w:r>
        <w:rPr>
          <w:rFonts w:hint="cs"/>
          <w:b/>
          <w:b/>
          <w:bCs/>
          <w:sz w:val="28"/>
          <w:szCs w:val="28"/>
          <w:rtl w:val="true"/>
        </w:rPr>
        <w:t>أولا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  <w:r>
        <w:rPr>
          <w:rFonts w:hint="cs"/>
          <w:b/>
          <w:b/>
          <w:bCs/>
          <w:sz w:val="28"/>
          <w:szCs w:val="28"/>
          <w:rtl w:val="true"/>
        </w:rPr>
        <w:t>معلومات الاتفاقية</w:t>
      </w:r>
      <w:r>
        <w:rPr>
          <w:rFonts w:hint="cs"/>
          <w:b/>
          <w:bCs/>
          <w:sz w:val="28"/>
          <w:szCs w:val="28"/>
          <w:rtl w:val="true"/>
        </w:rPr>
        <w:t xml:space="preserve">/ </w:t>
      </w:r>
      <w:r>
        <w:rPr>
          <w:rFonts w:hint="cs"/>
          <w:b/>
          <w:b/>
          <w:bCs/>
          <w:sz w:val="28"/>
          <w:szCs w:val="28"/>
          <w:rtl w:val="true"/>
        </w:rPr>
        <w:t xml:space="preserve">العقد </w:t>
      </w:r>
      <w:r>
        <w:rPr>
          <w:rFonts w:hint="cs"/>
          <w:b/>
          <w:bCs/>
          <w:sz w:val="28"/>
          <w:szCs w:val="28"/>
          <w:rtl w:val="true"/>
        </w:rPr>
        <w:t xml:space="preserve">/ </w:t>
      </w:r>
      <w:r>
        <w:rPr>
          <w:rFonts w:hint="cs"/>
          <w:b/>
          <w:b/>
          <w:bCs/>
          <w:sz w:val="28"/>
          <w:szCs w:val="28"/>
          <w:rtl w:val="true"/>
        </w:rPr>
        <w:t>الرخصة</w:t>
      </w:r>
    </w:p>
    <w:tbl>
      <w:tblPr>
        <w:tblStyle w:val="TableGrid"/>
        <w:bidiVisual w:val="true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168"/>
        <w:gridCol w:w="1167"/>
        <w:gridCol w:w="1170"/>
        <w:gridCol w:w="1169"/>
        <w:gridCol w:w="1169"/>
        <w:gridCol w:w="1168"/>
        <w:gridCol w:w="1170"/>
        <w:gridCol w:w="1169"/>
      </w:tblGrid>
      <w:tr>
        <w:trPr/>
        <w:tc>
          <w:tcPr>
            <w:tcW w:w="116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المربع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الولاية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فترة الاستكشاف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تاريخ التوقيع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المساحة الأولية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المساحة الحالية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المعدن</w:t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سريان الاتفاقية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16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jc w:val="start"/>
        <w:rPr>
          <w:b/>
          <w:bCs/>
        </w:rPr>
      </w:pPr>
      <w:r>
        <w:rPr>
          <w:rFonts w:hint="cs"/>
          <w:b/>
          <w:b/>
          <w:bCs/>
          <w:rtl w:val="true"/>
        </w:rPr>
        <w:t>السرد التاريخي</w:t>
      </w:r>
      <w:r>
        <w:rPr>
          <w:rFonts w:hint="cs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hint="cs"/>
        </w:rPr>
      </w:pPr>
      <w:r>
        <w:rPr>
          <w:rFonts w:hint="cs"/>
          <w:rtl w:val="true"/>
        </w:rPr>
        <w:t xml:space="preserve">تمديدات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تنازلات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إلغاء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إنذارات قانونية</w:t>
      </w:r>
    </w:p>
    <w:p>
      <w:pPr>
        <w:pStyle w:val="Normal"/>
        <w:bidi w:val="1"/>
        <w:jc w:val="start"/>
        <w:rPr>
          <w:b/>
          <w:bCs/>
          <w:sz w:val="28"/>
          <w:szCs w:val="28"/>
        </w:rPr>
      </w:pPr>
      <w:r>
        <w:rPr>
          <w:rFonts w:hint="cs"/>
          <w:b/>
          <w:b/>
          <w:bCs/>
          <w:sz w:val="28"/>
          <w:szCs w:val="28"/>
          <w:rtl w:val="true"/>
        </w:rPr>
        <w:t>ثانيا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  <w:r>
        <w:rPr>
          <w:rFonts w:hint="cs"/>
          <w:b/>
          <w:b/>
          <w:bCs/>
          <w:sz w:val="28"/>
          <w:szCs w:val="28"/>
          <w:rtl w:val="true"/>
        </w:rPr>
        <w:t>الموقف المالي</w:t>
      </w:r>
    </w:p>
    <w:tbl>
      <w:tblPr>
        <w:tblStyle w:val="TableGrid"/>
        <w:bidiVisual w:val="true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5"/>
        <w:gridCol w:w="1910"/>
        <w:gridCol w:w="1862"/>
        <w:gridCol w:w="1903"/>
        <w:gridCol w:w="1750"/>
      </w:tblGrid>
      <w:tr>
        <w:trPr/>
        <w:tc>
          <w:tcPr>
            <w:tcW w:w="1925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المديونية</w:t>
            </w:r>
          </w:p>
        </w:tc>
        <w:tc>
          <w:tcPr>
            <w:tcW w:w="191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المطالبة الحالية</w:t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تاريخ اخر سداد</w:t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الرصيد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مستوفي</w:t>
            </w:r>
            <w:r>
              <w:rPr>
                <w:rFonts w:eastAsia="Calibri" w:cs="Arial" w:hint="cs"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 xml:space="preserve">/ </w:t>
            </w: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غير مستوفي</w:t>
            </w:r>
          </w:p>
        </w:tc>
      </w:tr>
      <w:tr>
        <w:trPr/>
        <w:tc>
          <w:tcPr>
            <w:tcW w:w="1925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91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jc w:val="start"/>
        <w:rPr>
          <w:b/>
          <w:bCs/>
        </w:rPr>
      </w:pPr>
      <w:r>
        <w:rPr>
          <w:rFonts w:hint="cs"/>
          <w:b/>
          <w:b/>
          <w:bCs/>
          <w:rtl w:val="true"/>
        </w:rPr>
        <w:t>السرد التاريخي</w:t>
      </w:r>
      <w:r>
        <w:rPr>
          <w:rFonts w:hint="cs"/>
          <w:b/>
          <w:bCs/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 xml:space="preserve">مطالبات </w:t>
      </w:r>
      <w:r>
        <w:rPr>
          <w:rFonts w:hint="cs"/>
          <w:rtl w:val="true"/>
        </w:rPr>
        <w:t xml:space="preserve">- </w:t>
      </w:r>
      <w:r>
        <w:rPr>
          <w:rFonts w:hint="cs"/>
          <w:rtl w:val="true"/>
        </w:rPr>
        <w:t>سداد</w:t>
      </w:r>
    </w:p>
    <w:p>
      <w:pPr>
        <w:pStyle w:val="Normal"/>
        <w:bidi w:val="1"/>
        <w:jc w:val="start"/>
        <w:rPr>
          <w:b/>
          <w:bCs/>
          <w:sz w:val="28"/>
          <w:szCs w:val="28"/>
        </w:rPr>
      </w:pPr>
      <w:r>
        <w:rPr>
          <w:rFonts w:hint="cs"/>
          <w:b/>
          <w:b/>
          <w:bCs/>
          <w:sz w:val="28"/>
          <w:szCs w:val="28"/>
          <w:rtl w:val="true"/>
        </w:rPr>
        <w:t>ثالثا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  <w:r>
        <w:rPr>
          <w:rFonts w:hint="cs"/>
          <w:b/>
          <w:b/>
          <w:bCs/>
          <w:sz w:val="28"/>
          <w:szCs w:val="28"/>
          <w:rtl w:val="true"/>
        </w:rPr>
        <w:t>الموقف الفني</w:t>
      </w:r>
    </w:p>
    <w:tbl>
      <w:tblPr>
        <w:tblStyle w:val="TableGrid"/>
        <w:bidiVisual w:val="true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برنامج العمل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الموازنة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التقارير الفنية والمالية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الموقف بالحقل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hint="cs"/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ملخص النشاط الفني</w:t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jc w:val="start"/>
        <w:rPr>
          <w:b/>
          <w:bCs/>
        </w:rPr>
      </w:pPr>
      <w:r>
        <w:rPr>
          <w:rFonts w:hint="cs"/>
          <w:b/>
          <w:b/>
          <w:bCs/>
          <w:rtl w:val="true"/>
        </w:rPr>
        <w:t>السرد التاريخي للأعمال الفنية</w:t>
      </w:r>
      <w:r>
        <w:rPr>
          <w:rFonts w:hint="cs"/>
          <w:b/>
          <w:bCs/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 xml:space="preserve">دراسات استشعار عن بعد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جمع وفحص عينات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مسح طبوغرافي</w:t>
      </w:r>
      <w:r>
        <w:rPr>
          <w:rFonts w:hint="cs"/>
          <w:rtl w:val="true"/>
        </w:rPr>
        <w:t>/</w:t>
      </w:r>
      <w:r>
        <w:rPr>
          <w:rFonts w:hint="cs"/>
          <w:rtl w:val="true"/>
        </w:rPr>
        <w:t xml:space="preserve">جيوفيزيائي </w:t>
      </w:r>
      <w:r>
        <w:rPr>
          <w:rFonts w:hint="cs"/>
          <w:rtl w:val="true"/>
        </w:rPr>
        <w:t xml:space="preserve">- </w:t>
      </w:r>
      <w:r>
        <w:rPr>
          <w:rFonts w:hint="cs"/>
          <w:rtl w:val="true"/>
        </w:rPr>
        <w:t>حفر ترنشات</w:t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tbl>
      <w:tblPr>
        <w:tblStyle w:val="TableGrid"/>
        <w:tblpPr w:vertAnchor="text" w:horzAnchor="page" w:leftFromText="180" w:rightFromText="180" w:tblpX="4701" w:tblpY="1183"/>
        <w:bidiVisual w:val="true"/>
        <w:tblW w:w="432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40"/>
        <w:gridCol w:w="1440"/>
        <w:gridCol w:w="1440"/>
      </w:tblGrid>
      <w:tr>
        <w:trPr>
          <w:trHeight w:val="1440" w:hRule="atLeast"/>
        </w:trPr>
        <w:tc>
          <w:tcPr>
            <w:tcW w:w="1440" w:type="dxa"/>
            <w:tcBorders/>
            <w:shd w:color="auto" w:fill="00B050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eastAsia="Calibri"/>
                <w:kern w:val="2"/>
                <w:sz w:val="24"/>
                <w:szCs w:val="24"/>
                <w:rtl w:val="true"/>
                <w:lang w:val="en-US" w:eastAsia="en-US" w:bidi="ar-SA"/>
              </w:rPr>
              <w:t>اخضر</w:t>
            </w:r>
          </w:p>
        </w:tc>
        <w:tc>
          <w:tcPr>
            <w:tcW w:w="1440" w:type="dxa"/>
            <w:tcBorders/>
            <w:shd w:color="auto" w:fill="FFFF00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eastAsia="Calibri"/>
                <w:kern w:val="2"/>
                <w:sz w:val="24"/>
                <w:szCs w:val="24"/>
                <w:rtl w:val="true"/>
                <w:lang w:val="en-US" w:eastAsia="en-US" w:bidi="ar-SA"/>
              </w:rPr>
              <w:t>اصفر</w:t>
            </w:r>
          </w:p>
        </w:tc>
        <w:tc>
          <w:tcPr>
            <w:tcW w:w="1440" w:type="dxa"/>
            <w:tcBorders/>
            <w:shd w:color="auto" w:fill="EE0000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eastAsia="Calibri"/>
                <w:kern w:val="2"/>
                <w:sz w:val="24"/>
                <w:szCs w:val="24"/>
                <w:rtl w:val="true"/>
                <w:lang w:val="en-US" w:eastAsia="en-US" w:bidi="ar-SA"/>
              </w:rPr>
              <w:t>احمر</w:t>
            </w:r>
          </w:p>
        </w:tc>
      </w:tr>
    </w:tbl>
    <w:p>
      <w:pPr>
        <w:pStyle w:val="Normal"/>
        <w:bidi w:val="1"/>
        <w:jc w:val="start"/>
        <w:rPr>
          <w:b/>
          <w:bCs/>
          <w:sz w:val="28"/>
          <w:szCs w:val="28"/>
        </w:rPr>
      </w:pPr>
      <w:r/>
      <w:r>
        <w:rPr>
          <w:rFonts w:hint="cs"/>
          <w:b/>
          <w:b/>
          <w:bCs/>
          <w:sz w:val="28"/>
          <w:szCs w:val="28"/>
          <w:rtl w:val="true"/>
        </w:rPr>
        <w:t>رابعا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  <w:r>
        <w:rPr>
          <w:rFonts w:hint="cs"/>
          <w:b/>
          <w:b/>
          <w:bCs/>
          <w:sz w:val="28"/>
          <w:szCs w:val="28"/>
          <w:rtl w:val="true"/>
        </w:rPr>
        <w:t>حالة الشركة العامة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6d3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6d3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6d3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6d3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6d3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6d3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6d3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6d3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6d3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876d3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876d3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876d3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876d3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876d3"/>
    <w:rPr>
      <w:rFonts w:eastAsia="" w:cs="Times New Roman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876d3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876d3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876d3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876d3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876d3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876d3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876d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876d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876d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876d3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876d3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d3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6d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876d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87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876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Application>LibreOffice/26.2.4.2$Linux_X86_64 LibreOffice_project/620$Build-2</Application>
  <AppVersion>15.0000</AppVersion>
  <Pages>1</Pages>
  <Words>85</Words>
  <Characters>506</Characters>
  <CharactersWithSpaces>564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2026-08-02T09:30:00Z</dcterms:created>
  <dc:creator>Omer Awad</dc:creator>
  <dc:description/>
  <dc:language>en-US</dc:language>
  <cp:lastModifiedBy/>
  <dcterms:modified xsi:type="dcterms:W3CDTF">2026-08-10T12:21:55Z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