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2"/>
          <w:szCs w:val="32"/>
        </w:rPr>
        <w:t xml:space="preserve">Project Proposal</w:t>
      </w:r>
    </w:p>
    <w:p>
      <w:pPr>
        <w:spacing w:after="40"/>
        <w:jc w:val="center"/>
      </w:pPr>
      <w:r>
        <w:rPr>
          <w:rFonts w:ascii="Calibri" w:cs="Calibri" w:eastAsia="Calibri" w:hAnsi="Calibri"/>
          <w:sz w:val="22"/>
          <w:szCs w:val="22"/>
        </w:rPr>
        <w:t xml:space="preserve">Digital Egypt Pioneers Initiative (DEPI) — Graduation Project</w:t>
      </w:r>
    </w:p>
    <w:p>
      <w:pPr>
        <w:spacing w:after="240"/>
        <w:jc w:val="center"/>
      </w:pPr>
      <w:r>
        <w:rPr>
          <w:rFonts w:ascii="Calibri" w:cs="Calibri" w:eastAsia="Calibri" w:hAnsi="Calibri"/>
          <w:sz w:val="22"/>
          <w:szCs w:val="22"/>
        </w:rPr>
        <w:t xml:space="preserve">AI &amp; Data Science — Microsoft Machine Learning Engineer Track</w:t>
      </w:r>
    </w:p>
    <w:p>
      <w:pPr>
        <w:pStyle w:val="Heading1"/>
        <w:spacing w:after="160" w:before="280"/>
      </w:pPr>
      <w:r>
        <w:rPr>
          <w:rFonts w:ascii="Times New Roman" w:cs="Times New Roman" w:eastAsia="Times New Roman" w:hAnsi="Times New Roman"/>
          <w:b/>
          <w:bCs/>
          <w:color w:val="1F3864"/>
          <w:sz w:val="27"/>
          <w:szCs w:val="27"/>
        </w:rPr>
        <w:t xml:space="preserve">Project: NetLift — A Causal Decision System for Incremental Profit Optimization</w:t>
      </w:r>
    </w:p>
    <w:p>
      <w:pPr>
        <w:pStyle w:val="Heading2"/>
        <w:spacing w:after="120" w:before="220"/>
      </w:pPr>
      <w:r>
        <w:rPr>
          <w:rFonts w:ascii="Times New Roman" w:cs="Times New Roman" w:eastAsia="Times New Roman" w:hAnsi="Times New Roman"/>
          <w:b/>
          <w:bCs/>
          <w:color w:val="1F3864"/>
          <w:sz w:val="24"/>
          <w:szCs w:val="24"/>
        </w:rPr>
        <w:t xml:space="preserve">Objective</w:t>
      </w:r>
    </w:p>
    <w:p>
      <w:pPr>
        <w:spacing w:after="120" w:line="278"/>
      </w:pPr>
      <w:r>
        <w:rPr>
          <w:rFonts w:ascii="Calibri" w:cs="Calibri" w:eastAsia="Calibri" w:hAnsi="Calibri"/>
          <w:sz w:val="22"/>
          <w:szCs w:val="22"/>
        </w:rPr>
        <w:t xml:space="preserve">To build and deploy a machine-learning system that predicts, for each customer, how much a marketing or retention intervention changes that customer's behaviour — and to use that estimate to allocate a fixed campaign budget so that it produces the largest possible number of additional conversions.</w:t>
      </w:r>
    </w:p>
    <w:p>
      <w:pPr>
        <w:spacing w:after="120" w:line="278"/>
      </w:pPr>
      <w:r>
        <w:rPr>
          <w:rFonts w:ascii="Calibri" w:cs="Calibri" w:eastAsia="Calibri" w:hAnsi="Calibri"/>
          <w:sz w:val="22"/>
          <w:szCs w:val="22"/>
        </w:rPr>
        <w:t xml:space="preserve">The project is deliberately built around a question that a standard classification model cannot answer. A churn or response model predicts who is likely to convert; it cannot tell whether the contact caused the conversion. NetLift estimates the causal effect of the contact itself, which is the quantity a business actually spends money against.</w:t>
      </w:r>
    </w:p>
    <w:p>
      <w:pPr>
        <w:spacing w:after="100" w:line="278"/>
      </w:pPr>
      <w:r>
        <w:rPr>
          <w:rFonts w:ascii="Calibri" w:cs="Calibri" w:eastAsia="Calibri" w:hAnsi="Calibri"/>
          <w:b/>
          <w:bCs/>
          <w:sz w:val="22"/>
          <w:szCs w:val="22"/>
        </w:rPr>
        <w:t xml:space="preserve">Measurable objectives — project KPIs:</w:t>
      </w:r>
    </w:p>
    <w:p>
      <w:pPr>
        <w:spacing w:after="120" w:line="278"/>
      </w:pPr>
      <w:r>
        <w:rPr>
          <w:rFonts w:ascii="Calibri" w:cs="Calibri" w:eastAsia="Calibri" w:hAnsi="Calibri"/>
          <w:sz w:val="22"/>
          <w:szCs w:val="22"/>
        </w:rPr>
        <w:t xml:space="preserve">Each KPI states how it is measured, what counts as success, when it is first reported and who owns it. Two kinds appear and they are labelled, because confusing them is how project reports end up making claims they cannot support. Pass/fail is a condition that is either met or not. Measured means a number reported with a 95% bootstrap confidence interval and no numeric target set in advance — there is no prior result on this data to set one from, and inventing a threshold to be beaten would be exactly the kind of unearned claim this project is built to avoid. Where a success condition exists for those, it is structural: an interval that excludes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00"/>
        <w:gridCol w:w="1250"/>
        <w:gridCol w:w="1410"/>
      </w:tblGrid>
      <w:tr>
        <w:trPr>
          <w:cantSplit/>
          <w:tblHeader/>
        </w:trPr>
        <w:tc>
          <w:tcPr>
            <w:tcW w:type="dxa" w:w="16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KPI</w:t>
            </w:r>
          </w:p>
        </w:tc>
        <w:tc>
          <w:tcPr>
            <w:tcW w:type="dxa" w:w="24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How it is measured</w:t>
            </w:r>
          </w:p>
        </w:tc>
        <w:tc>
          <w:tcPr>
            <w:tcW w:type="dxa" w:w="27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Success condition</w:t>
            </w:r>
          </w:p>
        </w:tc>
        <w:tc>
          <w:tcPr>
            <w:tcW w:type="dxa" w:w="125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First reported</w:t>
            </w:r>
          </w:p>
        </w:tc>
        <w:tc>
          <w:tcPr>
            <w:tcW w:type="dxa" w:w="141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Owner</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K1 — Incremental conversions vs the response model (primary)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Simulated replay on the locked test split: both policies pick the same number of customers under the same budget; incremental conversions measured against the withheld slice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Measured. The 95% interval of the difference excludes zero in favour of uplift. An interval containing zero is a reportable finding, not a failed project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4 (W12–13)</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 Alaa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K2 — Qini coefficient and AUUC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Evaluation harness on the locked test split, 1000+ bootstrap resamples within treatment arms; library and settings named</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Measured. Interval excludes zero — demonstrably better than random targeting</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4 (W12–13)</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 Alaa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K3 — Incremental profit per unit of spend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Replay output converted using the stated per-contact cost and margin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Measured. Reported with an interval and with the cost and margin assumptions named on the same line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4 (W12–13)</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 Alaa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K4 — Negative control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Full pipeline re-run on a randomly permuted treatment indicator</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Pass/fail. The 95% interval of the measured uplift contains zero</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M4, re-run at M6</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 Alaa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K5 — Calibration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Predicted vs measured incremental conversions per decile in the replay</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Measured. Differences straddle zero across deciles rather than showing a systematic direction</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5</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 Alaa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K6 — Randomization integrity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Standardized mean difference per covariate, plus the ROC-AUC of a classifier predicting treatment from covariates alone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Pass/fail. Every |SMD| below 0.1 (conventional threshold, fixed in config before the test runs) and treatment-predictability AUC near 0.5. Any breach documented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3 (W9–10)</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Aliaa Gomaa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K7 — Leakage control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Automated forbidden-column check in CI, plus K4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Pass/fail. The build fails when a post-treatment column reaches the model matrix, and a unit test asserts it does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4</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Aliaa Gomaa</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K8 — Reproducibility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Clean checkout, one documented command, compared against the recorded headline number</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Pass/fail. Reproduces exactly from config plus commit hash</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5</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Mahmoud Nadeem</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K9 — Serving performance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Load test against the deployed endpoint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Team-set target, revised once first measured: p95 under 300 ms for a single score; a one-million-row batch inside ten minutes on the project's own hardware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5</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Mazen Mahmoud</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K10 — Engineering quality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CI on every pull request: lint, type check, unit, data, model-behaviour, integration and API tests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Pass/fail. Green on the merge commit of every pull request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Milestones 5–6</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Mazen Mahmoud</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K11 — Documentation completeness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Checklist of the DEPI-required artefacts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Pass/fail. Every required artefact exists and is current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Milestone 7</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Mahmoud Nadeem</w:t>
            </w:r>
          </w:p>
        </w:tc>
      </w:tr>
    </w:tbl>
    <w:p>
      <w:pPr>
        <w:spacing w:after="120" w:line="278"/>
      </w:pPr>
      <w:r>
        <w:rPr>
          <w:rFonts w:ascii="Calibri" w:cs="Calibri" w:eastAsia="Calibri" w:hAnsi="Calibri"/>
          <w:sz w:val="22"/>
          <w:szCs w:val="22"/>
        </w:rPr>
        <w:t xml:space="preserve"/>
      </w:r>
    </w:p>
    <w:p>
      <w:pPr>
        <w:spacing w:after="120" w:line="278"/>
      </w:pPr>
      <w:r>
        <w:rPr>
          <w:rFonts w:ascii="Calibri" w:cs="Calibri" w:eastAsia="Calibri" w:hAnsi="Calibri"/>
          <w:b/>
          <w:bCs/>
          <w:sz w:val="22"/>
          <w:szCs w:val="22"/>
        </w:rPr>
        <w:t xml:space="preserve">K1 is the project. </w:t>
      </w:r>
      <w:r>
        <w:rPr>
          <w:rFonts w:ascii="Calibri" w:cs="Calibri" w:eastAsia="Calibri" w:hAnsi="Calibri"/>
          <w:sz w:val="22"/>
          <w:szCs w:val="22"/>
        </w:rPr>
        <w:t xml:space="preserve">Everything else supports it. If K1's interval excludes zero, the central claim holds. If it contains zero, the report says so and the project becomes an investigation into why — which is why K1 is scheduled at Milestone 4 and not at the end.</w:t>
      </w:r>
    </w:p>
    <w:p>
      <w:pPr>
        <w:pStyle w:val="Heading2"/>
        <w:spacing w:after="120" w:before="220"/>
      </w:pPr>
      <w:r>
        <w:rPr>
          <w:rFonts w:ascii="Times New Roman" w:cs="Times New Roman" w:eastAsia="Times New Roman" w:hAnsi="Times New Roman"/>
          <w:b/>
          <w:bCs/>
          <w:color w:val="1F3864"/>
          <w:sz w:val="24"/>
          <w:szCs w:val="24"/>
        </w:rPr>
        <w:t xml:space="preserve">Description</w:t>
      </w:r>
    </w:p>
    <w:p>
      <w:pPr>
        <w:spacing w:after="120" w:line="278"/>
      </w:pPr>
      <w:r>
        <w:rPr>
          <w:rFonts w:ascii="Calibri" w:cs="Calibri" w:eastAsia="Calibri" w:hAnsi="Calibri"/>
          <w:sz w:val="22"/>
          <w:szCs w:val="22"/>
        </w:rPr>
        <w:t xml:space="preserve">Companies allocate retention and promotion budgets using models that rank customers by predicted conversion or predicted churn. Those models are frequently accurate and the campaigns built on them frequently lose money, because the ranking contains no information about causation. Customers at the top of a “likely to convert” list often include the customers who would have converted with no offer at all, so the discount they receive is margin given away for nothing.</w:t>
      </w:r>
    </w:p>
    <w:p>
      <w:pPr>
        <w:spacing w:after="120" w:line="278"/>
      </w:pPr>
      <w:r>
        <w:rPr>
          <w:rFonts w:ascii="Calibri" w:cs="Calibri" w:eastAsia="Calibri" w:hAnsi="Calibri"/>
          <w:sz w:val="22"/>
          <w:szCs w:val="22"/>
        </w:rPr>
        <w:t xml:space="preserve">Uplift modelling addresses this directly by estimating the Conditional Average Treatment Effect: the difference between what happens if a customer is contacted and what happens if the same customer is not. The population divides into four groups, and two of them cost money when targeted: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060"/>
      </w:tblGrid>
      <w:tr>
        <w:trPr>
          <w:cantSplit/>
          <w:tblHeader/>
        </w:trPr>
        <w:tc>
          <w:tcPr>
            <w:tcW w:type="dxa" w:w="23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Segment</w:t>
            </w:r>
          </w:p>
        </w:tc>
        <w:tc>
          <w:tcPr>
            <w:tcW w:type="dxa" w:w="20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If contacted</w:t>
            </w:r>
          </w:p>
        </w:tc>
        <w:tc>
          <w:tcPr>
            <w:tcW w:type="dxa" w:w="20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If not contacted</w:t>
            </w:r>
          </w:p>
        </w:tc>
        <w:tc>
          <w:tcPr>
            <w:tcW w:type="dxa" w:w="306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Targeting implication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Persuadables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Converts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Does not convert</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The only group worth spending budget on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Sure Things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Converts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Converts</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Zero effect — the offer is wasted margin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Lost Causes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Does not convert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Does not convert</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Zero effect — wasted contact cost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Sleeping Dogs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Does not convert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Converts</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Negative effect — contacting them destroys value</w:t>
            </w:r>
          </w:p>
        </w:tc>
      </w:tr>
    </w:tbl>
    <w:p>
      <w:pPr>
        <w:spacing w:after="120" w:line="278"/>
      </w:pPr>
      <w:r>
        <w:rPr>
          <w:rFonts w:ascii="Calibri" w:cs="Calibri" w:eastAsia="Calibri" w:hAnsi="Calibri"/>
          <w:sz w:val="22"/>
          <w:szCs w:val="22"/>
        </w:rPr>
        <w:t xml:space="preserve"/>
      </w:r>
    </w:p>
    <w:p>
      <w:pPr>
        <w:spacing w:after="120" w:line="278"/>
      </w:pPr>
      <w:r>
        <w:rPr>
          <w:rFonts w:ascii="Calibri" w:cs="Calibri" w:eastAsia="Calibri" w:hAnsi="Calibri"/>
          <w:sz w:val="22"/>
          <w:szCs w:val="22"/>
        </w:rPr>
        <w:t xml:space="preserve">A response model cannot separate Persuadables from Sure Things, because it only ever observes conversions among contacted customers. NetLift makes that separation, and additionally identifies the Sleeping Dogs so that they can be suppressed from the campaign entirely — a behaviour no conventional targeting engine can express.</w:t>
      </w:r>
    </w:p>
    <w:p>
      <w:pPr>
        <w:spacing w:after="120" w:line="278"/>
      </w:pPr>
      <w:r>
        <w:rPr>
          <w:rFonts w:ascii="Calibri" w:cs="Calibri" w:eastAsia="Calibri" w:hAnsi="Calibri"/>
          <w:sz w:val="22"/>
          <w:szCs w:val="22"/>
        </w:rPr>
        <w:t xml:space="preserve">Because the individual treatment effect is never observable for any single customer (only one of the two outcomes ever happens), the project cannot be validated with accuracy, F1 or ROC-AUC. It is validated instead with uplift-specific metrics computed against a randomized control group, each reported with bootstrap confidence intervals, and confirmed by a negative-control experiment. This constraint is the intellectual core of the project and shapes its data strategy, its evaluation design and its testing plan.</w:t>
      </w:r>
    </w:p>
    <w:p>
      <w:pPr>
        <w:spacing w:after="120" w:line="278"/>
      </w:pPr>
      <w:r>
        <w:rPr>
          <w:rFonts w:ascii="Calibri" w:cs="Calibri" w:eastAsia="Calibri" w:hAnsi="Calibri"/>
          <w:b w:val="false"/>
          <w:bCs w:val="false"/>
          <w:sz w:val="22"/>
          <w:szCs w:val="22"/>
        </w:rPr>
        <w:t xml:space="preserve">Data. Two public datasets from genuine randomized experiments are used, which is what makes the causal claim verifiable rather than assumed:</w:t>
      </w:r>
    </w:p>
    <w:p>
      <w:pPr>
        <w:pStyle w:val="ListParagraph"/>
        <w:numPr>
          <w:ilvl w:val="0"/>
          <w:numId w:val="2"/>
        </w:numPr>
        <w:spacing w:after="60" w:line="278"/>
      </w:pPr>
      <w:r>
        <w:rPr>
          <w:rFonts w:ascii="Calibri" w:cs="Calibri" w:eastAsia="Calibri" w:hAnsi="Calibri"/>
          <w:b/>
          <w:bCs/>
          <w:sz w:val="22"/>
          <w:szCs w:val="22"/>
        </w:rPr>
        <w:t xml:space="preserve">Criteo-UPLIFT — </w:t>
      </w:r>
      <w:r>
        <w:rPr>
          <w:rFonts w:ascii="Calibri" w:cs="Calibri" w:eastAsia="Calibri" w:hAnsi="Calibri"/>
          <w:sz w:val="22"/>
          <w:szCs w:val="22"/>
        </w:rPr>
        <w:t xml:space="preserve">13,979,592 rows, 12 anonymised numeric features, treatment ratio 0.85, average visit rate 0.046992 and average conversion rate 0.00292, with visit and conversion as binary targets. Released with Diemert, Betlei, Renaudin and Amini, “A Large Scale Benchmark for Uplift Modeling”, AdKDD Workshop at KDD 2018. Used for the primary results.</w:t>
      </w:r>
    </w:p>
    <w:p>
      <w:pPr>
        <w:pStyle w:val="ListParagraph"/>
        <w:numPr>
          <w:ilvl w:val="0"/>
          <w:numId w:val="2"/>
        </w:numPr>
        <w:spacing w:after="60" w:line="278"/>
      </w:pPr>
      <w:r>
        <w:rPr>
          <w:rFonts w:ascii="Calibri" w:cs="Calibri" w:eastAsia="Calibri" w:hAnsi="Calibri"/>
          <w:b/>
          <w:bCs/>
          <w:sz w:val="22"/>
          <w:szCs w:val="22"/>
        </w:rPr>
        <w:t xml:space="preserve">Hillstrom MineThatData — </w:t>
      </w:r>
      <w:r>
        <w:rPr>
          <w:rFonts w:ascii="Calibri" w:cs="Calibri" w:eastAsia="Calibri" w:hAnsi="Calibri"/>
          <w:sz w:val="22"/>
          <w:szCs w:val="22"/>
        </w:rPr>
        <w:t xml:space="preserve">64,000 customers randomly split into equal thirds across a Mens e-mail campaign, a Womens e-mail campaign and a no-e-mail control, with visit, conversion and spend recorded over the following two weeks. Used for pipeline development, for multi-treatment modelling and for revenue (continuous-outcome) uplift.</w:t>
      </w:r>
    </w:p>
    <w:p>
      <w:pPr>
        <w:spacing w:after="120" w:line="278"/>
      </w:pPr>
      <w:r>
        <w:rPr>
          <w:rFonts w:ascii="Calibri" w:cs="Calibri" w:eastAsia="Calibri" w:hAnsi="Calibri"/>
          <w:sz w:val="22"/>
          <w:szCs w:val="22"/>
        </w:rPr>
        <w:t xml:space="preserve">Deliverable. A validated data pipeline, a set of uplift models benchmarked against the response model a business would otherwise use, an evaluation harness with confidence intervals, a budget-constrained decision layer that includes an explicit “insufficient evidence” outcome, a campaign policy simulator that reports incremental profit, and a deployed scoring service with a dashboard and drift monitoring.</w:t>
      </w:r>
    </w:p>
    <w:p>
      <w:pPr>
        <w:spacing w:after="120" w:line="278"/>
      </w:pPr>
      <w:r>
        <w:rPr>
          <w:rFonts w:ascii="Calibri" w:cs="Calibri" w:eastAsia="Calibri" w:hAnsi="Calibri"/>
          <w:sz w:val="22"/>
          <w:szCs w:val="22"/>
        </w:rPr>
        <w:t xml:space="preserve">A system, not a model — and stated honestly. Criteo and Hillstrom are fixed historical datasets: there is no live audience to score, no target list that will be handed to a campaign system, and no outcome window that will close while we wait. Every outcome was recorded years ago and is already in the file. What this project builds is therefore a simulated campaign replay: a slice of the held-out test split stands in for next month's audience, the system defines a scenario with its cost and margin, scores that slice without reading its outcomes, allocates the budget, holds out a randomized share of the selected targets, and only then reveals the recorded outcomes and measures what the decision actually produced — against the response-model, blanket and random policies at an identical budget.</w:t>
      </w:r>
    </w:p>
    <w:p>
      <w:pPr>
        <w:spacing w:after="120" w:line="278"/>
      </w:pPr>
      <w:r>
        <w:rPr>
          <w:rFonts w:ascii="Calibri" w:cs="Calibri" w:eastAsia="Calibri" w:hAnsi="Calibri"/>
          <w:sz w:val="22"/>
          <w:szCs w:val="22"/>
        </w:rPr>
        <w:t xml:space="preserve">This measures the decision rather than the ranking, which a Qini curve alone cannot do, and it is possible precisely because the data is historical: the counterfactual is already recorded, so nothing has to be waited for. It is also what makes five distinct roles necessary rather than nominal — it adds scenario and assignment records, holdout logic, the outcome-reveal boundary and the test that enforces it, and the measurement job.</w:t>
      </w:r>
    </w:p>
    <w:p>
      <w:pPr>
        <w:spacing w:after="120" w:line="278"/>
      </w:pPr>
      <w:r>
        <w:rPr>
          <w:rFonts w:ascii="Calibri" w:cs="Calibri" w:eastAsia="Calibri" w:hAnsi="Calibri"/>
          <w:sz w:val="22"/>
          <w:szCs w:val="22"/>
        </w:rPr>
        <w:t xml:space="preserve">What a live deployment would additionally require — a permanently maintained randomized holdout, outcome-window measurement, and the delayed-feedback handling that goes with them — is specified separately in the main document and is explicitly not claimed as work for this semester.</w:t>
      </w:r>
    </w:p>
    <w:p>
      <w:pPr>
        <w:spacing w:after="120" w:line="278"/>
      </w:pPr>
      <w:r>
        <w:rPr>
          <w:rFonts w:ascii="Calibri" w:cs="Calibri" w:eastAsia="Calibri" w:hAnsi="Calibri"/>
          <w:sz w:val="22"/>
          <w:szCs w:val="22"/>
        </w:rPr>
        <w:t xml:space="preserve">What the project estimates. The intention-to-treat effect — the effect of being selected for the campaign — because that is what the experimental design identifies and what a targeting decision actually controls. The effect on customers who genuinely received and registered the intervention would be larger, and estimating it would require exposure data that neither dataset contains. This is stated explicitly rather than left implicit.</w:t>
      </w:r>
    </w:p>
    <w:p>
      <w:pPr>
        <w:pStyle w:val="Heading2"/>
        <w:spacing w:after="120" w:before="220"/>
      </w:pPr>
      <w:r>
        <w:rPr>
          <w:rFonts w:ascii="Times New Roman" w:cs="Times New Roman" w:eastAsia="Times New Roman" w:hAnsi="Times New Roman"/>
          <w:b/>
          <w:bCs/>
          <w:color w:val="1F3864"/>
          <w:sz w:val="24"/>
          <w:szCs w:val="24"/>
        </w:rPr>
        <w:t xml:space="preserve">Tools &amp; Design</w:t>
      </w:r>
    </w:p>
    <w:p>
      <w:pPr>
        <w:spacing w:after="120" w:line="278"/>
      </w:pPr>
      <w:r>
        <w:rPr>
          <w:rFonts w:ascii="Calibri" w:cs="Calibri" w:eastAsia="Calibri" w:hAnsi="Calibri"/>
          <w:sz w:val="22"/>
          <w:szCs w:val="22"/>
        </w:rPr>
        <w:t xml:space="preserve">System design. A layered architecture with a strict separation between the offline training pipeline and the online scoring service:</w:t>
      </w:r>
    </w:p>
    <w:p>
      <w:pPr>
        <w:pStyle w:val="ListParagraph"/>
        <w:numPr>
          <w:ilvl w:val="0"/>
          <w:numId w:val="2"/>
        </w:numPr>
        <w:spacing w:after="60" w:line="278"/>
      </w:pPr>
      <w:r>
        <w:rPr>
          <w:rFonts w:ascii="Calibri" w:cs="Calibri" w:eastAsia="Calibri" w:hAnsi="Calibri"/>
          <w:sz w:val="22"/>
          <w:szCs w:val="22"/>
        </w:rPr>
        <w:t xml:space="preserve">versioned ingestion, schema validation, duplicate removal, a randomization-integrity report, an automated leakage audit, and a train/validation/test split stratified jointly on treatment and outcome.</w:t>
      </w:r>
    </w:p>
    <w:p>
      <w:pPr>
        <w:pStyle w:val="ListParagraph"/>
        <w:numPr>
          <w:ilvl w:val="0"/>
          <w:numId w:val="2"/>
        </w:numPr>
        <w:spacing w:after="60" w:line="278"/>
      </w:pPr>
      <w:r>
        <w:rPr>
          <w:rFonts w:ascii="Calibri" w:cs="Calibri" w:eastAsia="Calibri" w:hAnsi="Calibri"/>
          <w:sz w:val="22"/>
          <w:szCs w:val="22"/>
        </w:rPr>
        <w:t xml:space="preserve">three mandatory baselines (random targeting, blanket targeting, response model), then meta-learner uplift estimators, then advanced challengers, every run tracked in MLflow.</w:t>
      </w:r>
    </w:p>
    <w:p>
      <w:pPr>
        <w:pStyle w:val="ListParagraph"/>
        <w:numPr>
          <w:ilvl w:val="0"/>
          <w:numId w:val="2"/>
        </w:numPr>
        <w:spacing w:after="60" w:line="278"/>
      </w:pPr>
      <w:r>
        <w:rPr>
          <w:rFonts w:ascii="Calibri" w:cs="Calibri" w:eastAsia="Calibri" w:hAnsi="Calibri"/>
          <w:sz w:val="22"/>
          <w:szCs w:val="22"/>
        </w:rPr>
        <w:t xml:space="preserve">Qini and uplift curves, AUUC, uplift@k and cumulative gain, all with bootstrap confidence intervals, plus a permuted-treatment negative control and a suite of behavioural invariance tests.</w:t>
      </w:r>
    </w:p>
    <w:p>
      <w:pPr>
        <w:pStyle w:val="ListParagraph"/>
        <w:numPr>
          <w:ilvl w:val="0"/>
          <w:numId w:val="2"/>
        </w:numPr>
        <w:spacing w:after="60" w:line="278"/>
      </w:pPr>
      <w:r>
        <w:rPr>
          <w:rFonts w:ascii="Calibri" w:cs="Calibri" w:eastAsia="Calibri" w:hAnsi="Calibri"/>
          <w:sz w:val="22"/>
          <w:szCs w:val="22"/>
        </w:rPr>
        <w:t xml:space="preserve">converts an uplift score into an action under a cost structure, suppresses customers with confidently negative uplift, and returns an explicit abstention verdict when the evidence is too thin to support a recommendation.</w:t>
      </w:r>
    </w:p>
    <w:p>
      <w:pPr>
        <w:pStyle w:val="ListParagraph"/>
        <w:numPr>
          <w:ilvl w:val="0"/>
          <w:numId w:val="2"/>
        </w:numPr>
        <w:spacing w:after="60" w:line="278"/>
      </w:pPr>
      <w:r>
        <w:rPr>
          <w:rFonts w:ascii="Calibri" w:cs="Calibri" w:eastAsia="Calibri" w:hAnsi="Calibri"/>
          <w:sz w:val="22"/>
          <w:szCs w:val="22"/>
        </w:rPr>
        <w:t xml:space="preserve">a FastAPI service loading the champion model from the MLflow registry by version, containerised with Docker and deployed on Azure, with a Streamlit dashboard and drift monitors on top.</w:t>
      </w:r>
    </w:p>
    <w:p>
      <w:pPr>
        <w:spacing w:after="120" w:line="278"/>
      </w:pPr>
      <w:r>
        <w:rPr>
          <w:rFonts w:ascii="Calibri" w:cs="Calibri" w:eastAsia="Calibri" w:hAnsi="Calibri"/>
          <w:sz w:val="22"/>
          <w:szCs w:val="22"/>
        </w:rPr>
        <w:t xml:space="preserve">The service is API-first: scoring and policy simulation are exposed as documented endpoints independent of the dashboard, so any other application could consume them without changes to the ML side.</w:t>
      </w:r>
    </w:p>
    <w:p>
      <w:pPr>
        <w:spacing w:after="120" w:line="278"/>
      </w:pPr>
      <w:r>
        <w:rPr>
          <w:rFonts w:ascii="Calibri" w:cs="Calibri" w:eastAsia="Calibri" w:hAnsi="Calibri"/>
          <w:sz w:val="22"/>
          <w:szCs w:val="22"/>
        </w:rPr>
        <w:t xml:space="preserve">Design artefacts to be produced. Use case diagram; functional and non-functional requirements; software architecture diagram; ER diagram with logical and physical schema (campaign, treatment assignment, holdout membership, scoring run, score, model version, outcome observation); context and level-1 data flow diagrams; sequence diagrams for batch scoring, policy simulation and retraining; activity diagram for campaign planning; state diagrams for the campaign and model lifecycles; class diagram of the pipeline object model; wireframes and UI guidelines; component and deployment diagrams; API documentation; test plan and test cases.</w:t>
      </w:r>
    </w:p>
    <w:p>
      <w:pPr>
        <w:pStyle w:val="Heading2"/>
        <w:spacing w:after="120" w:before="220"/>
      </w:pPr>
      <w:r>
        <w:rPr>
          <w:rFonts w:ascii="Times New Roman" w:cs="Times New Roman" w:eastAsia="Times New Roman" w:hAnsi="Times New Roman"/>
          <w:b/>
          <w:bCs/>
          <w:color w:val="1F3864"/>
          <w:sz w:val="24"/>
          <w:szCs w:val="24"/>
        </w:rPr>
        <w:t xml:space="preserve">Technologies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Area</w:t>
            </w:r>
          </w:p>
        </w:tc>
        <w:tc>
          <w:tcPr>
            <w:tcW w:type="dxa" w:w="716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Technologies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Language &amp; data</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Python 3.11, pandas, NumPy, PyArrow / Parquet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Machine learning</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scikit-learn, LightGBM, XGBoost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Uplift / causal inference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scikit-uplift, CausalML (meta-learners, uplift forests)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Deep learning</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PyTorch — shared-representation treatment-effect network</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Statistics &amp; explainability</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SciPy, statsmodels, SHAP, bootstrap resampling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Hyperparameter search</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Optuna, optimised against a Qini objective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Experiment tracking</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MLflow tracking and model registry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Visualization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Matplotlib, Plotly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API &amp; serving</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FastAPI, Uvicorn, Pydantic</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Frontend</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Streamlit dashboard (campaign planner, policy comparison, model evidence, monitoring)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Storage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PostgreSQL, Azure Blob Storage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Cloud</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Azure Machine Learning endpoint, Azure Container Registry, Application Insights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Containers &amp; CI/CD</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Docker, GitHub Actions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Testing</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pytest — unit, data-validation, model-behaviour, integration and API tests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Documentation</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Markdown, MkDocs or Sphinx, auto-generated OpenAPI</w:t>
            </w:r>
          </w:p>
        </w:tc>
      </w:tr>
    </w:tbl>
    <w:p>
      <w:pPr>
        <w:pStyle w:val="Heading2"/>
        <w:spacing w:after="120" w:before="220"/>
      </w:pPr>
      <w:r>
        <w:rPr>
          <w:rFonts w:ascii="Times New Roman" w:cs="Times New Roman" w:eastAsia="Times New Roman" w:hAnsi="Times New Roman"/>
          <w:b/>
          <w:bCs/>
          <w:color w:val="1F3864"/>
          <w:sz w:val="24"/>
          <w:szCs w:val="24"/>
        </w:rPr>
        <w:t xml:space="preserve">Team Members &amp; Responsibilities</w:t>
      </w:r>
    </w:p>
    <w:p>
      <w:pPr>
        <w:spacing w:after="120" w:line="278"/>
      </w:pPr>
      <w:r>
        <w:rPr>
          <w:rFonts w:ascii="Calibri" w:cs="Calibri" w:eastAsia="Calibri" w:hAnsi="Calibri"/>
          <w:sz w:val="22"/>
          <w:szCs w:val="22"/>
        </w:rPr>
        <w:t xml:space="preserve">Five members. Roles are defined so that no two members are blocked on the same dependency, and so that every member owns a component that appears in the final demonstration and can be described end to end.</w:t>
      </w:r>
    </w:p>
    <w:p>
      <w:pPr>
        <w:spacing w:after="120" w:line="278"/>
      </w:pPr>
      <w:r>
        <w:rPr>
          <w:rFonts w:ascii="Calibri" w:cs="Calibri" w:eastAsia="Calibri" w:hAnsi="Calibri"/>
          <w:b/>
          <w:bCs/>
          <w:sz w:val="22"/>
          <w:szCs w:val="22"/>
        </w:rPr>
        <w:t xml:space="preserve">Team: </w:t>
      </w:r>
      <w:r>
        <w:rPr>
          <w:rFonts w:ascii="Calibri" w:cs="Calibri" w:eastAsia="Calibri" w:hAnsi="Calibri"/>
          <w:sz w:val="22"/>
          <w:szCs w:val="22"/>
        </w:rPr>
        <w:t xml:space="preserve">Mahmoud Nadeem (Project Team Leader), Aliaa Gomaa, Mohammed Sherif, Ali Alaa, Mazen Mahmoud.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50"/>
        <w:gridCol w:w="1700"/>
        <w:gridCol w:w="4360"/>
      </w:tblGrid>
      <w:tr>
        <w:trPr>
          <w:cantSplit/>
          <w:tblHeader/>
        </w:trPr>
        <w:tc>
          <w:tcPr>
            <w:tcW w:type="dxa" w:w="115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Member</w:t>
            </w:r>
          </w:p>
        </w:tc>
        <w:tc>
          <w:tcPr>
            <w:tcW w:type="dxa" w:w="215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Role</w:t>
            </w:r>
          </w:p>
        </w:tc>
        <w:tc>
          <w:tcPr>
            <w:tcW w:type="dxa" w:w="17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Name</w:t>
            </w:r>
          </w:p>
        </w:tc>
        <w:tc>
          <w:tcPr>
            <w:tcW w:type="dxa" w:w="436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Responsibilities</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M1</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Data Engineering &amp; Experiment Validity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Aliaa Gomaa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Dataset ingestion and versioning; schema contract; duplicate and null policy; randomization-integrity report; leakage audit and its automated check; joint stratified split; preprocessing artefacts; ER diagram and database schema</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M2</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Uplift Modeling Core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Mohammed Sherif</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Random, blanket and response-model baselines; S-, T- and X-learners over gradient boosting; the class-transformation demonstration including its unbalanced-design trap; model interfaces</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M3</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Advanced Models &amp; Experiment Tracking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Mahmoud Nadeem</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Uplift Random Forest; shared-representation neural estimator in PyTorch; Optuna study under a Qini objective; full MLflow tracking and registry; reproducibility discipline</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M4</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Evaluation, Statistics &amp; Decision Layer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Ali Alaa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Metric harness (Qini, AUUC, uplift@k, cumulative gain); bootstrap confidence intervals; model-comparison procedure; negative control; behavioural test suite; decision layer and policy modes; abstention logic; SHAP; error analysis; campaign policy simulator</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M5</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MLOps, Backend &amp; Product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Mazen Mahmoud</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FastAPI service and contracts; Docker; Azure deployment and Blob storage; PostgreSQL scoring log; Streamlit dashboard; drift monitoring; CI/CD; integration testing; repository standards</w:t>
            </w:r>
          </w:p>
        </w:tc>
      </w:tr>
    </w:tbl>
    <w:p>
      <w:pPr>
        <w:spacing w:after="120" w:line="278"/>
      </w:pPr>
      <w:r>
        <w:rPr>
          <w:rFonts w:ascii="Calibri" w:cs="Calibri" w:eastAsia="Calibri" w:hAnsi="Calibri"/>
          <w:sz w:val="22"/>
          <w:szCs w:val="22"/>
        </w:rPr>
        <w:t xml:space="preserve"/>
      </w:r>
    </w:p>
    <w:p>
      <w:pPr>
        <w:spacing w:after="120" w:line="278"/>
      </w:pPr>
      <w:r>
        <w:rPr>
          <w:rFonts w:ascii="Calibri" w:cs="Calibri" w:eastAsia="Calibri" w:hAnsi="Calibri"/>
          <w:b/>
          <w:bCs/>
          <w:sz w:val="22"/>
          <w:szCs w:val="22"/>
        </w:rPr>
        <w:t xml:space="preserve">Project Team Leader: </w:t>
      </w:r>
      <w:r>
        <w:rPr>
          <w:rFonts w:ascii="Calibri" w:cs="Calibri" w:eastAsia="Calibri" w:hAnsi="Calibri"/>
          <w:sz w:val="22"/>
          <w:szCs w:val="22"/>
        </w:rPr>
        <w:t xml:space="preserve">Mahmoud Nadeem — represents the team, submits the project files, and owns the GitHub repository provided on the organisation account. He also holds the M3 role (Advanced Models &amp; Experiment Tracking) in addition to leading.</w:t>
      </w:r>
    </w:p>
    <w:p>
      <w:pPr>
        <w:spacing w:after="120" w:line="278"/>
      </w:pPr>
      <w:r>
        <w:rPr>
          <w:rFonts w:ascii="Calibri" w:cs="Calibri" w:eastAsia="Calibri" w:hAnsi="Calibri"/>
          <w:b/>
          <w:bCs/>
          <w:sz w:val="22"/>
          <w:szCs w:val="22"/>
        </w:rPr>
        <w:t xml:space="preserve">Critical path: </w:t>
      </w:r>
      <w:r>
        <w:rPr>
          <w:rFonts w:ascii="Calibri" w:cs="Calibri" w:eastAsia="Calibri" w:hAnsi="Calibri"/>
          <w:sz w:val="22"/>
          <w:szCs w:val="22"/>
        </w:rPr>
        <w:t xml:space="preserve">Aliaa (M1, data engineering and experiment validity) then Ali (M4, evaluation and decision layer), in that order. Until the split is valid no model is trustworthy, and until the metric harness with confidence intervals exists no model can be compared with another. Both must be complete before the Analysis and Design milestone ends.</w:t>
      </w:r>
    </w:p>
    <w:p>
      <w:pPr>
        <w:pStyle w:val="Heading1"/>
        <w:spacing w:after="160" w:before="280"/>
      </w:pPr>
      <w:r>
        <w:rPr>
          <w:rFonts w:ascii="Times New Roman" w:cs="Times New Roman" w:eastAsia="Times New Roman" w:hAnsi="Times New Roman"/>
          <w:b/>
          <w:bCs/>
          <w:color w:val="1F3864"/>
          <w:sz w:val="27"/>
          <w:szCs w:val="27"/>
        </w:rPr>
        <w:t xml:space="preserve">Weekly Plan — Tasks, Responsibilities and Deliverables</w:t>
      </w:r>
    </w:p>
    <w:p>
      <w:pPr>
        <w:spacing w:after="120" w:line="278"/>
      </w:pPr>
      <w:r>
        <w:rPr>
          <w:rFonts w:ascii="Calibri" w:cs="Calibri" w:eastAsia="Calibri" w:hAnsi="Calibri"/>
          <w:sz w:val="22"/>
          <w:szCs w:val="22"/>
        </w:rPr>
        <w:t xml:space="preserve">The four week blocks below cover the first four weeks of project work. They are labelled with the DEPI programme week they correspond to, so that Week 1 of the project is programme Week 5, the week in which teams are formed and this proposal is submitted. The complete plan through to the final presentation in programme Week 21 follows in the next section.</w:t>
      </w:r>
    </w:p>
    <w:p>
      <w:pPr>
        <w:pStyle w:val="Heading2"/>
        <w:spacing w:after="120" w:before="220"/>
      </w:pPr>
      <w:r>
        <w:rPr>
          <w:rFonts w:ascii="Times New Roman" w:cs="Times New Roman" w:eastAsia="Times New Roman" w:hAnsi="Times New Roman"/>
          <w:b/>
          <w:bCs/>
          <w:color w:val="1F3864"/>
          <w:sz w:val="24"/>
          <w:szCs w:val="24"/>
        </w:rPr>
        <w:t xml:space="preserve">Week 1 (Programme Week 5): Foundation and Planning</w:t>
      </w:r>
    </w:p>
    <w:p>
      <w:pPr>
        <w:pStyle w:val="ListParagraph"/>
        <w:numPr>
          <w:ilvl w:val="0"/>
          <w:numId w:val="2"/>
        </w:numPr>
        <w:spacing w:after="60" w:line="278"/>
      </w:pPr>
      <w:r>
        <w:rPr>
          <w:rFonts w:ascii="Calibri" w:cs="Calibri" w:eastAsia="Calibri" w:hAnsi="Calibri"/>
          <w:b/>
          <w:bCs/>
          <w:sz w:val="22"/>
          <w:szCs w:val="22"/>
        </w:rPr>
        <w:t xml:space="preserve">All members — </w:t>
      </w:r>
      <w:r>
        <w:rPr>
          <w:rFonts w:ascii="Calibri" w:cs="Calibri" w:eastAsia="Calibri" w:hAnsi="Calibri"/>
          <w:sz w:val="22"/>
          <w:szCs w:val="22"/>
        </w:rPr>
        <w:t xml:space="preserve">read the project specification; agree the project's core question; each member must be able to explain, unprompted, why classification accuracy is not a valid metric for this project.</w:t>
      </w:r>
    </w:p>
    <w:p>
      <w:pPr>
        <w:pStyle w:val="ListParagraph"/>
        <w:numPr>
          <w:ilvl w:val="0"/>
          <w:numId w:val="2"/>
        </w:numPr>
        <w:spacing w:after="60" w:line="278"/>
      </w:pPr>
      <w:r>
        <w:rPr>
          <w:rFonts w:ascii="Calibri" w:cs="Calibri" w:eastAsia="Calibri" w:hAnsi="Calibri"/>
          <w:b/>
          <w:bCs/>
          <w:sz w:val="22"/>
          <w:szCs w:val="22"/>
        </w:rPr>
        <w:t xml:space="preserve">Mahmoud (team leader) — </w:t>
      </w:r>
      <w:r>
        <w:rPr>
          <w:rFonts w:ascii="Calibri" w:cs="Calibri" w:eastAsia="Calibri" w:hAnsi="Calibri"/>
          <w:sz w:val="22"/>
          <w:szCs w:val="22"/>
        </w:rPr>
        <w:t xml:space="preserve">finalise and submit this proposal; request the project repository on the organisation account; set up the task board.</w:t>
      </w:r>
    </w:p>
    <w:p>
      <w:pPr>
        <w:pStyle w:val="ListParagraph"/>
        <w:numPr>
          <w:ilvl w:val="0"/>
          <w:numId w:val="2"/>
        </w:numPr>
        <w:spacing w:after="60" w:line="278"/>
      </w:pPr>
      <w:r>
        <w:rPr>
          <w:rFonts w:ascii="Calibri" w:cs="Calibri" w:eastAsia="Calibri" w:hAnsi="Calibri"/>
          <w:b/>
          <w:bCs/>
          <w:sz w:val="22"/>
          <w:szCs w:val="22"/>
        </w:rPr>
        <w:t xml:space="preserve">Aliaa (M1) — </w:t>
      </w:r>
      <w:r>
        <w:rPr>
          <w:rFonts w:ascii="Calibri" w:cs="Calibri" w:eastAsia="Calibri" w:hAnsi="Calibri"/>
          <w:sz w:val="22"/>
          <w:szCs w:val="22"/>
        </w:rPr>
        <w:t xml:space="preserve">download Criteo-UPLIFT and Hillstrom; verify the published row counts, column lists and treatment ratios against the actual files and report any discrepancy immediately.</w:t>
      </w:r>
    </w:p>
    <w:p>
      <w:pPr>
        <w:pStyle w:val="ListParagraph"/>
        <w:numPr>
          <w:ilvl w:val="0"/>
          <w:numId w:val="2"/>
        </w:numPr>
        <w:spacing w:after="60" w:line="278"/>
      </w:pPr>
      <w:r>
        <w:rPr>
          <w:rFonts w:ascii="Calibri" w:cs="Calibri" w:eastAsia="Calibri" w:hAnsi="Calibri"/>
          <w:b/>
          <w:bCs/>
          <w:sz w:val="22"/>
          <w:szCs w:val="22"/>
        </w:rPr>
        <w:t xml:space="preserve">Mohammed (M2) — </w:t>
      </w:r>
      <w:r>
        <w:rPr>
          <w:rFonts w:ascii="Calibri" w:cs="Calibri" w:eastAsia="Calibri" w:hAnsi="Calibri"/>
          <w:sz w:val="22"/>
          <w:szCs w:val="22"/>
        </w:rPr>
        <w:t xml:space="preserve">review of uplift modelling approaches and libraries; select the estimator families to implement.</w:t>
      </w:r>
    </w:p>
    <w:p>
      <w:pPr>
        <w:pStyle w:val="ListParagraph"/>
        <w:numPr>
          <w:ilvl w:val="0"/>
          <w:numId w:val="2"/>
        </w:numPr>
        <w:spacing w:after="60" w:line="278"/>
      </w:pPr>
      <w:r>
        <w:rPr>
          <w:rFonts w:ascii="Calibri" w:cs="Calibri" w:eastAsia="Calibri" w:hAnsi="Calibri"/>
          <w:b/>
          <w:bCs/>
          <w:sz w:val="22"/>
          <w:szCs w:val="22"/>
        </w:rPr>
        <w:t xml:space="preserve">Mahmoud (M3) — </w:t>
      </w:r>
      <w:r>
        <w:rPr>
          <w:rFonts w:ascii="Calibri" w:cs="Calibri" w:eastAsia="Calibri" w:hAnsi="Calibri"/>
          <w:sz w:val="22"/>
          <w:szCs w:val="22"/>
        </w:rPr>
        <w:t xml:space="preserve">local MLflow tracking server; pinned environment file; reproducibility conventions (seeds, config files, run naming).</w:t>
      </w:r>
    </w:p>
    <w:p>
      <w:pPr>
        <w:pStyle w:val="ListParagraph"/>
        <w:numPr>
          <w:ilvl w:val="0"/>
          <w:numId w:val="2"/>
        </w:numPr>
        <w:spacing w:after="60" w:line="278"/>
      </w:pPr>
      <w:r>
        <w:rPr>
          <w:rFonts w:ascii="Calibri" w:cs="Calibri" w:eastAsia="Calibri" w:hAnsi="Calibri"/>
          <w:b/>
          <w:bCs/>
          <w:sz w:val="22"/>
          <w:szCs w:val="22"/>
        </w:rPr>
        <w:t xml:space="preserve">Ali (M4) — </w:t>
      </w:r>
      <w:r>
        <w:rPr>
          <w:rFonts w:ascii="Calibri" w:cs="Calibri" w:eastAsia="Calibri" w:hAnsi="Calibri"/>
          <w:sz w:val="22"/>
          <w:szCs w:val="22"/>
        </w:rPr>
        <w:t xml:space="preserve">draft the KPI definitions and the evaluation-metric plan.</w:t>
      </w:r>
    </w:p>
    <w:p>
      <w:pPr>
        <w:pStyle w:val="ListParagraph"/>
        <w:numPr>
          <w:ilvl w:val="0"/>
          <w:numId w:val="2"/>
        </w:numPr>
        <w:spacing w:after="60" w:line="278"/>
      </w:pPr>
      <w:r>
        <w:rPr>
          <w:rFonts w:ascii="Calibri" w:cs="Calibri" w:eastAsia="Calibri" w:hAnsi="Calibri"/>
          <w:b/>
          <w:bCs/>
          <w:sz w:val="22"/>
          <w:szCs w:val="22"/>
        </w:rPr>
        <w:t xml:space="preserve">Mazen (M5) — </w:t>
      </w:r>
      <w:r>
        <w:rPr>
          <w:rFonts w:ascii="Calibri" w:cs="Calibri" w:eastAsia="Calibri" w:hAnsi="Calibri"/>
          <w:sz w:val="22"/>
          <w:szCs w:val="22"/>
        </w:rPr>
        <w:t xml:space="preserve">repository skeleton and folder structure; branching strategy; continuous-integration stub; coding standards document.</w:t>
      </w:r>
    </w:p>
    <w:p>
      <w:pPr>
        <w:spacing w:after="60" w:line="278"/>
      </w:pPr>
      <w:r>
        <w:rPr>
          <w:rFonts w:ascii="Calibri" w:cs="Calibri" w:eastAsia="Calibri" w:hAnsi="Calibri"/>
          <w:b/>
          <w:bCs/>
          <w:sz w:val="22"/>
          <w:szCs w:val="22"/>
        </w:rPr>
        <w:t xml:space="preserve">Deliverables:</w:t>
      </w:r>
    </w:p>
    <w:p>
      <w:pPr>
        <w:pStyle w:val="ListParagraph"/>
        <w:numPr>
          <w:ilvl w:val="0"/>
          <w:numId w:val="2"/>
        </w:numPr>
        <w:spacing w:after="60" w:line="278"/>
      </w:pPr>
      <w:r>
        <w:rPr>
          <w:rFonts w:ascii="Calibri" w:cs="Calibri" w:eastAsia="Calibri" w:hAnsi="Calibri"/>
          <w:sz w:val="22"/>
          <w:szCs w:val="22"/>
        </w:rPr>
        <w:t xml:space="preserve">Project proposal submitted to the instructor</w:t>
      </w:r>
    </w:p>
    <w:p>
      <w:pPr>
        <w:pStyle w:val="ListParagraph"/>
        <w:numPr>
          <w:ilvl w:val="0"/>
          <w:numId w:val="2"/>
        </w:numPr>
        <w:spacing w:after="60" w:line="278"/>
      </w:pPr>
      <w:r>
        <w:rPr>
          <w:rFonts w:ascii="Calibri" w:cs="Calibri" w:eastAsia="Calibri" w:hAnsi="Calibri"/>
          <w:sz w:val="22"/>
          <w:szCs w:val="22"/>
        </w:rPr>
        <w:t xml:space="preserve">Project plan with milestones, deliverables and a Gantt chart</w:t>
      </w:r>
    </w:p>
    <w:p>
      <w:pPr>
        <w:pStyle w:val="ListParagraph"/>
        <w:numPr>
          <w:ilvl w:val="0"/>
          <w:numId w:val="2"/>
        </w:numPr>
        <w:spacing w:after="60" w:line="278"/>
      </w:pPr>
      <w:r>
        <w:rPr>
          <w:rFonts w:ascii="Calibri" w:cs="Calibri" w:eastAsia="Calibri" w:hAnsi="Calibri"/>
          <w:sz w:val="22"/>
          <w:szCs w:val="22"/>
        </w:rPr>
        <w:t xml:space="preserve">Task assignment and roles document</w:t>
      </w:r>
    </w:p>
    <w:p>
      <w:pPr>
        <w:pStyle w:val="ListParagraph"/>
        <w:numPr>
          <w:ilvl w:val="0"/>
          <w:numId w:val="2"/>
        </w:numPr>
        <w:spacing w:after="60" w:line="278"/>
      </w:pPr>
      <w:r>
        <w:rPr>
          <w:rFonts w:ascii="Calibri" w:cs="Calibri" w:eastAsia="Calibri" w:hAnsi="Calibri"/>
          <w:sz w:val="22"/>
          <w:szCs w:val="22"/>
        </w:rPr>
        <w:t xml:space="preserve">Initial risk register with mitigations</w:t>
      </w:r>
    </w:p>
    <w:p>
      <w:pPr>
        <w:pStyle w:val="ListParagraph"/>
        <w:numPr>
          <w:ilvl w:val="0"/>
          <w:numId w:val="2"/>
        </w:numPr>
        <w:spacing w:after="60" w:line="278"/>
      </w:pPr>
      <w:r>
        <w:rPr>
          <w:rFonts w:ascii="Calibri" w:cs="Calibri" w:eastAsia="Calibri" w:hAnsi="Calibri"/>
          <w:sz w:val="22"/>
          <w:szCs w:val="22"/>
        </w:rPr>
        <w:t xml:space="preserve">KPI definitions agreed by the team</w:t>
      </w:r>
    </w:p>
    <w:p>
      <w:pPr>
        <w:pStyle w:val="ListParagraph"/>
        <w:numPr>
          <w:ilvl w:val="0"/>
          <w:numId w:val="2"/>
        </w:numPr>
        <w:spacing w:after="60" w:line="278"/>
      </w:pPr>
      <w:r>
        <w:rPr>
          <w:rFonts w:ascii="Calibri" w:cs="Calibri" w:eastAsia="Calibri" w:hAnsi="Calibri"/>
          <w:sz w:val="22"/>
          <w:szCs w:val="22"/>
        </w:rPr>
        <w:t xml:space="preserve">Repository initialised, structured, with continuous integration running</w:t>
      </w:r>
    </w:p>
    <w:p>
      <w:pPr>
        <w:pStyle w:val="ListParagraph"/>
        <w:numPr>
          <w:ilvl w:val="0"/>
          <w:numId w:val="2"/>
        </w:numPr>
        <w:spacing w:after="60" w:line="278"/>
      </w:pPr>
      <w:r>
        <w:rPr>
          <w:rFonts w:ascii="Calibri" w:cs="Calibri" w:eastAsia="Calibri" w:hAnsi="Calibri"/>
          <w:sz w:val="22"/>
          <w:szCs w:val="22"/>
        </w:rPr>
        <w:t xml:space="preserve">Both datasets downloaded and their published figures verified against the files</w:t>
      </w:r>
    </w:p>
    <w:p>
      <w:pPr>
        <w:pStyle w:val="Heading2"/>
        <w:spacing w:after="120" w:before="220"/>
      </w:pPr>
      <w:r>
        <w:rPr>
          <w:rFonts w:ascii="Times New Roman" w:cs="Times New Roman" w:eastAsia="Times New Roman" w:hAnsi="Times New Roman"/>
          <w:b/>
          <w:bCs/>
          <w:color w:val="1F3864"/>
          <w:sz w:val="24"/>
          <w:szCs w:val="24"/>
        </w:rPr>
        <w:t xml:space="preserve">Week 2 (Programme Week 6): Data Foundation</w:t>
      </w:r>
    </w:p>
    <w:p>
      <w:pPr>
        <w:pStyle w:val="ListParagraph"/>
        <w:numPr>
          <w:ilvl w:val="0"/>
          <w:numId w:val="2"/>
        </w:numPr>
        <w:spacing w:after="60" w:line="278"/>
      </w:pPr>
      <w:r>
        <w:rPr>
          <w:rFonts w:ascii="Calibri" w:cs="Calibri" w:eastAsia="Calibri" w:hAnsi="Calibri"/>
          <w:b/>
          <w:bCs/>
          <w:sz w:val="22"/>
          <w:szCs w:val="22"/>
        </w:rPr>
        <w:t xml:space="preserve">Aliaa (M1) — </w:t>
      </w:r>
      <w:r>
        <w:rPr>
          <w:rFonts w:ascii="Calibri" w:cs="Calibri" w:eastAsia="Calibri" w:hAnsi="Calibri"/>
          <w:sz w:val="22"/>
          <w:szCs w:val="22"/>
        </w:rPr>
        <w:t xml:space="preserve">schema contract; duplicate and null policy; first randomization-balance check on Hillstrom (standardized mean differences per covariate).</w:t>
      </w:r>
    </w:p>
    <w:p>
      <w:pPr>
        <w:pStyle w:val="ListParagraph"/>
        <w:numPr>
          <w:ilvl w:val="0"/>
          <w:numId w:val="2"/>
        </w:numPr>
        <w:spacing w:after="60" w:line="278"/>
      </w:pPr>
      <w:r>
        <w:rPr>
          <w:rFonts w:ascii="Calibri" w:cs="Calibri" w:eastAsia="Calibri" w:hAnsi="Calibri"/>
          <w:b/>
          <w:bCs/>
          <w:sz w:val="22"/>
          <w:szCs w:val="22"/>
        </w:rPr>
        <w:t xml:space="preserve">Mohammed (M2) — </w:t>
      </w:r>
      <w:r>
        <w:rPr>
          <w:rFonts w:ascii="Calibri" w:cs="Calibri" w:eastAsia="Calibri" w:hAnsi="Calibri"/>
          <w:sz w:val="22"/>
          <w:szCs w:val="22"/>
        </w:rPr>
        <w:t xml:space="preserve">response-model baseline running end to end on Hillstrom.</w:t>
      </w:r>
    </w:p>
    <w:p>
      <w:pPr>
        <w:pStyle w:val="ListParagraph"/>
        <w:numPr>
          <w:ilvl w:val="0"/>
          <w:numId w:val="2"/>
        </w:numPr>
        <w:spacing w:after="60" w:line="278"/>
      </w:pPr>
      <w:r>
        <w:rPr>
          <w:rFonts w:ascii="Calibri" w:cs="Calibri" w:eastAsia="Calibri" w:hAnsi="Calibri"/>
          <w:b/>
          <w:bCs/>
          <w:sz w:val="22"/>
          <w:szCs w:val="22"/>
        </w:rPr>
        <w:t xml:space="preserve">Mahmoud (M3) — </w:t>
      </w:r>
      <w:r>
        <w:rPr>
          <w:rFonts w:ascii="Calibri" w:cs="Calibri" w:eastAsia="Calibri" w:hAnsi="Calibri"/>
          <w:sz w:val="22"/>
          <w:szCs w:val="22"/>
        </w:rPr>
        <w:t xml:space="preserve">configuration-driven experiment runner; first runs logged to MLflow with parameters, metrics and artefacts.</w:t>
      </w:r>
    </w:p>
    <w:p>
      <w:pPr>
        <w:pStyle w:val="ListParagraph"/>
        <w:numPr>
          <w:ilvl w:val="0"/>
          <w:numId w:val="2"/>
        </w:numPr>
        <w:spacing w:after="60" w:line="278"/>
      </w:pPr>
      <w:r>
        <w:rPr>
          <w:rFonts w:ascii="Calibri" w:cs="Calibri" w:eastAsia="Calibri" w:hAnsi="Calibri"/>
          <w:b/>
          <w:bCs/>
          <w:sz w:val="22"/>
          <w:szCs w:val="22"/>
        </w:rPr>
        <w:t xml:space="preserve">Ali (M4) — </w:t>
      </w:r>
      <w:r>
        <w:rPr>
          <w:rFonts w:ascii="Calibri" w:cs="Calibri" w:eastAsia="Calibri" w:hAnsi="Calibri"/>
          <w:sz w:val="22"/>
          <w:szCs w:val="22"/>
        </w:rPr>
        <w:t xml:space="preserve">Qini and uplift curve implementation, with a unit test against a hand-computed fixture.</w:t>
      </w:r>
    </w:p>
    <w:p>
      <w:pPr>
        <w:pStyle w:val="ListParagraph"/>
        <w:numPr>
          <w:ilvl w:val="0"/>
          <w:numId w:val="2"/>
        </w:numPr>
        <w:spacing w:after="60" w:line="278"/>
      </w:pPr>
      <w:r>
        <w:rPr>
          <w:rFonts w:ascii="Calibri" w:cs="Calibri" w:eastAsia="Calibri" w:hAnsi="Calibri"/>
          <w:b/>
          <w:bCs/>
          <w:sz w:val="22"/>
          <w:szCs w:val="22"/>
        </w:rPr>
        <w:t xml:space="preserve">Mazen (M5) — </w:t>
      </w:r>
      <w:r>
        <w:rPr>
          <w:rFonts w:ascii="Calibri" w:cs="Calibri" w:eastAsia="Calibri" w:hAnsi="Calibri"/>
          <w:sz w:val="22"/>
          <w:szCs w:val="22"/>
        </w:rPr>
        <w:t xml:space="preserve">API contract drafted from the use cases; wireframes for the four dashboard tabs.</w:t>
      </w:r>
    </w:p>
    <w:p>
      <w:pPr>
        <w:spacing w:after="60" w:line="278"/>
      </w:pPr>
      <w:r>
        <w:rPr>
          <w:rFonts w:ascii="Calibri" w:cs="Calibri" w:eastAsia="Calibri" w:hAnsi="Calibri"/>
          <w:b/>
          <w:bCs/>
          <w:sz w:val="22"/>
          <w:szCs w:val="22"/>
        </w:rPr>
        <w:t xml:space="preserve">Deliverables:</w:t>
      </w:r>
    </w:p>
    <w:p>
      <w:pPr>
        <w:pStyle w:val="ListParagraph"/>
        <w:numPr>
          <w:ilvl w:val="0"/>
          <w:numId w:val="2"/>
        </w:numPr>
        <w:spacing w:after="60" w:line="278"/>
      </w:pPr>
      <w:r>
        <w:rPr>
          <w:rFonts w:ascii="Calibri" w:cs="Calibri" w:eastAsia="Calibri" w:hAnsi="Calibri"/>
          <w:sz w:val="22"/>
          <w:szCs w:val="22"/>
        </w:rPr>
        <w:t xml:space="preserve">Data loading and validation module with tests</w:t>
      </w:r>
    </w:p>
    <w:p>
      <w:pPr>
        <w:pStyle w:val="ListParagraph"/>
        <w:numPr>
          <w:ilvl w:val="0"/>
          <w:numId w:val="2"/>
        </w:numPr>
        <w:spacing w:after="60" w:line="278"/>
      </w:pPr>
      <w:r>
        <w:rPr>
          <w:rFonts w:ascii="Calibri" w:cs="Calibri" w:eastAsia="Calibri" w:hAnsi="Calibri"/>
          <w:sz w:val="22"/>
          <w:szCs w:val="22"/>
        </w:rPr>
        <w:t xml:space="preserve">Randomization-balance report for Hillstrom</w:t>
      </w:r>
    </w:p>
    <w:p>
      <w:pPr>
        <w:pStyle w:val="ListParagraph"/>
        <w:numPr>
          <w:ilvl w:val="0"/>
          <w:numId w:val="2"/>
        </w:numPr>
        <w:spacing w:after="60" w:line="278"/>
      </w:pPr>
      <w:r>
        <w:rPr>
          <w:rFonts w:ascii="Calibri" w:cs="Calibri" w:eastAsia="Calibri" w:hAnsi="Calibri"/>
          <w:sz w:val="22"/>
          <w:szCs w:val="22"/>
        </w:rPr>
        <w:t xml:space="preserve">First Qini curve produced and reviewed</w:t>
      </w:r>
    </w:p>
    <w:p>
      <w:pPr>
        <w:pStyle w:val="ListParagraph"/>
        <w:numPr>
          <w:ilvl w:val="0"/>
          <w:numId w:val="2"/>
        </w:numPr>
        <w:spacing w:after="60" w:line="278"/>
      </w:pPr>
      <w:r>
        <w:rPr>
          <w:rFonts w:ascii="Calibri" w:cs="Calibri" w:eastAsia="Calibri" w:hAnsi="Calibri"/>
          <w:sz w:val="22"/>
          <w:szCs w:val="22"/>
        </w:rPr>
        <w:t xml:space="preserve">API contract draft and dashboard wireframes</w:t>
      </w:r>
    </w:p>
    <w:p>
      <w:pPr>
        <w:pStyle w:val="Heading2"/>
        <w:spacing w:after="120" w:before="220"/>
      </w:pPr>
      <w:r>
        <w:rPr>
          <w:rFonts w:ascii="Times New Roman" w:cs="Times New Roman" w:eastAsia="Times New Roman" w:hAnsi="Times New Roman"/>
          <w:b/>
          <w:bCs/>
          <w:color w:val="1F3864"/>
          <w:sz w:val="24"/>
          <w:szCs w:val="24"/>
        </w:rPr>
        <w:t xml:space="preserve">Week 3 (Programme Week 7): Instructor Review</w:t>
      </w:r>
    </w:p>
    <w:p>
      <w:pPr>
        <w:pStyle w:val="ListParagraph"/>
        <w:numPr>
          <w:ilvl w:val="0"/>
          <w:numId w:val="2"/>
        </w:numPr>
        <w:spacing w:after="60" w:line="278"/>
      </w:pPr>
      <w:r>
        <w:rPr>
          <w:rFonts w:ascii="Calibri" w:cs="Calibri" w:eastAsia="Calibri" w:hAnsi="Calibri"/>
          <w:b/>
          <w:bCs/>
          <w:sz w:val="22"/>
          <w:szCs w:val="22"/>
        </w:rPr>
        <w:t xml:space="preserve">Mahmoud (team leader) — </w:t>
      </w:r>
      <w:r>
        <w:rPr>
          <w:rFonts w:ascii="Calibri" w:cs="Calibri" w:eastAsia="Calibri" w:hAnsi="Calibri"/>
          <w:sz w:val="22"/>
          <w:szCs w:val="22"/>
        </w:rPr>
        <w:t xml:space="preserve">present the project; ask the four scope questions below and record the answers in writing; circulate the feedback the same day.</w:t>
      </w:r>
    </w:p>
    <w:p>
      <w:pPr>
        <w:pStyle w:val="ListParagraph"/>
        <w:numPr>
          <w:ilvl w:val="0"/>
          <w:numId w:val="2"/>
        </w:numPr>
        <w:spacing w:after="60" w:line="278"/>
      </w:pPr>
      <w:r>
        <w:rPr>
          <w:rFonts w:ascii="Calibri" w:cs="Calibri" w:eastAsia="Calibri" w:hAnsi="Calibri"/>
          <w:b/>
          <w:bCs/>
          <w:sz w:val="22"/>
          <w:szCs w:val="22"/>
        </w:rPr>
        <w:t xml:space="preserve">Aliaa (M1) — </w:t>
      </w:r>
      <w:r>
        <w:rPr>
          <w:rFonts w:ascii="Calibri" w:cs="Calibri" w:eastAsia="Calibri" w:hAnsi="Calibri"/>
          <w:sz w:val="22"/>
          <w:szCs w:val="22"/>
        </w:rPr>
        <w:t xml:space="preserve">leakage-audit rules and the automated forbidden-column check, enforced in continuous integration.</w:t>
      </w:r>
    </w:p>
    <w:p>
      <w:pPr>
        <w:pStyle w:val="ListParagraph"/>
        <w:numPr>
          <w:ilvl w:val="0"/>
          <w:numId w:val="2"/>
        </w:numPr>
        <w:spacing w:after="60" w:line="278"/>
      </w:pPr>
      <w:r>
        <w:rPr>
          <w:rFonts w:ascii="Calibri" w:cs="Calibri" w:eastAsia="Calibri" w:hAnsi="Calibri"/>
          <w:b/>
          <w:bCs/>
          <w:sz w:val="22"/>
          <w:szCs w:val="22"/>
        </w:rPr>
        <w:t xml:space="preserve">Mohammed (M2) — </w:t>
      </w:r>
      <w:r>
        <w:rPr>
          <w:rFonts w:ascii="Calibri" w:cs="Calibri" w:eastAsia="Calibri" w:hAnsi="Calibri"/>
          <w:sz w:val="22"/>
          <w:szCs w:val="22"/>
        </w:rPr>
        <w:t xml:space="preserve">T-learner on Hillstrom compared against the response-model baseline.</w:t>
      </w:r>
    </w:p>
    <w:p>
      <w:pPr>
        <w:pStyle w:val="ListParagraph"/>
        <w:numPr>
          <w:ilvl w:val="0"/>
          <w:numId w:val="2"/>
        </w:numPr>
        <w:spacing w:after="60" w:line="278"/>
      </w:pPr>
      <w:r>
        <w:rPr>
          <w:rFonts w:ascii="Calibri" w:cs="Calibri" w:eastAsia="Calibri" w:hAnsi="Calibri"/>
          <w:b/>
          <w:bCs/>
          <w:sz w:val="22"/>
          <w:szCs w:val="22"/>
        </w:rPr>
        <w:t xml:space="preserve">Mahmoud (M3) — </w:t>
      </w:r>
      <w:r>
        <w:rPr>
          <w:rFonts w:ascii="Calibri" w:cs="Calibri" w:eastAsia="Calibri" w:hAnsi="Calibri"/>
          <w:sz w:val="22"/>
          <w:szCs w:val="22"/>
        </w:rPr>
        <w:t xml:space="preserve">environment reproducibility verified on every team member's machine.</w:t>
      </w:r>
    </w:p>
    <w:p>
      <w:pPr>
        <w:pStyle w:val="ListParagraph"/>
        <w:numPr>
          <w:ilvl w:val="0"/>
          <w:numId w:val="2"/>
        </w:numPr>
        <w:spacing w:after="60" w:line="278"/>
      </w:pPr>
      <w:r>
        <w:rPr>
          <w:rFonts w:ascii="Calibri" w:cs="Calibri" w:eastAsia="Calibri" w:hAnsi="Calibri"/>
          <w:b/>
          <w:bCs/>
          <w:sz w:val="22"/>
          <w:szCs w:val="22"/>
        </w:rPr>
        <w:t xml:space="preserve">Ali (M4) — </w:t>
      </w:r>
      <w:r>
        <w:rPr>
          <w:rFonts w:ascii="Calibri" w:cs="Calibri" w:eastAsia="Calibri" w:hAnsi="Calibri"/>
          <w:sz w:val="22"/>
          <w:szCs w:val="22"/>
        </w:rPr>
        <w:t xml:space="preserve">bootstrap confidence intervals added to the metric harness.</w:t>
      </w:r>
    </w:p>
    <w:p>
      <w:pPr>
        <w:pStyle w:val="ListParagraph"/>
        <w:numPr>
          <w:ilvl w:val="0"/>
          <w:numId w:val="2"/>
        </w:numPr>
        <w:spacing w:after="60" w:line="278"/>
      </w:pPr>
      <w:r>
        <w:rPr>
          <w:rFonts w:ascii="Calibri" w:cs="Calibri" w:eastAsia="Calibri" w:hAnsi="Calibri"/>
          <w:b/>
          <w:bCs/>
          <w:sz w:val="22"/>
          <w:szCs w:val="22"/>
        </w:rPr>
        <w:t xml:space="preserve">Mazen (M5) — </w:t>
      </w:r>
      <w:r>
        <w:rPr>
          <w:rFonts w:ascii="Calibri" w:cs="Calibri" w:eastAsia="Calibri" w:hAnsi="Calibri"/>
          <w:sz w:val="22"/>
          <w:szCs w:val="22"/>
        </w:rPr>
        <w:t xml:space="preserve">FastAPI skeleton with mocked responses so the dashboard can be built in parallel.</w:t>
      </w:r>
    </w:p>
    <w:p>
      <w:pPr>
        <w:spacing w:after="60" w:line="278"/>
      </w:pPr>
      <w:r>
        <w:rPr>
          <w:rFonts w:ascii="Calibri" w:cs="Calibri" w:eastAsia="Calibri" w:hAnsi="Calibri"/>
          <w:b/>
          <w:bCs/>
          <w:sz w:val="22"/>
          <w:szCs w:val="22"/>
        </w:rPr>
        <w:t xml:space="preserve">Questions to put to the instructor and record the answers to:</w:t>
      </w:r>
    </w:p>
    <w:p>
      <w:pPr>
        <w:pStyle w:val="ListParagraph"/>
        <w:numPr>
          <w:ilvl w:val="0"/>
          <w:numId w:val="2"/>
        </w:numPr>
        <w:spacing w:after="60" w:line="278"/>
      </w:pPr>
      <w:r>
        <w:rPr>
          <w:rFonts w:ascii="Calibri" w:cs="Calibri" w:eastAsia="Calibri" w:hAnsi="Calibri"/>
          <w:sz w:val="22"/>
          <w:szCs w:val="22"/>
        </w:rPr>
        <w:t xml:space="preserve">Are computer vision and NLP required components of the evaluation, or desirable ones? This project uses neither, because neither dataset contains images or text, and this is the last week in which that answer can change the project cheaply.</w:t>
      </w:r>
    </w:p>
    <w:p>
      <w:pPr>
        <w:pStyle w:val="ListParagraph"/>
        <w:numPr>
          <w:ilvl w:val="0"/>
          <w:numId w:val="2"/>
        </w:numPr>
        <w:spacing w:after="60" w:line="278"/>
      </w:pPr>
      <w:r>
        <w:rPr>
          <w:rFonts w:ascii="Calibri" w:cs="Calibri" w:eastAsia="Calibri" w:hAnsi="Calibri"/>
          <w:sz w:val="22"/>
          <w:szCs w:val="22"/>
        </w:rPr>
        <w:t xml:space="preserve">Is a public benchmark dataset acceptable as the primary data source, or is locally collected data expected?</w:t>
      </w:r>
    </w:p>
    <w:p>
      <w:pPr>
        <w:pStyle w:val="ListParagraph"/>
        <w:numPr>
          <w:ilvl w:val="0"/>
          <w:numId w:val="2"/>
        </w:numPr>
        <w:spacing w:after="60" w:line="278"/>
      </w:pPr>
      <w:r>
        <w:rPr>
          <w:rFonts w:ascii="Calibri" w:cs="Calibri" w:eastAsia="Calibri" w:hAnsi="Calibri"/>
          <w:sz w:val="22"/>
          <w:szCs w:val="22"/>
        </w:rPr>
        <w:t xml:space="preserve">Is the project graded per team, and does any part of the grade depend on another team?</w:t>
      </w:r>
    </w:p>
    <w:p>
      <w:pPr>
        <w:pStyle w:val="ListParagraph"/>
        <w:numPr>
          <w:ilvl w:val="0"/>
          <w:numId w:val="2"/>
        </w:numPr>
        <w:spacing w:after="60" w:line="278"/>
      </w:pPr>
      <w:r>
        <w:rPr>
          <w:rFonts w:ascii="Calibri" w:cs="Calibri" w:eastAsia="Calibri" w:hAnsi="Calibri"/>
          <w:sz w:val="22"/>
          <w:szCs w:val="22"/>
        </w:rPr>
        <w:t xml:space="preserve">What weight do documentation, testing and deployment carry relative to model results?</w:t>
      </w:r>
    </w:p>
    <w:p>
      <w:pPr>
        <w:spacing w:after="60" w:line="278"/>
      </w:pPr>
      <w:r>
        <w:rPr>
          <w:rFonts w:ascii="Calibri" w:cs="Calibri" w:eastAsia="Calibri" w:hAnsi="Calibri"/>
          <w:b/>
          <w:bCs/>
          <w:sz w:val="22"/>
          <w:szCs w:val="22"/>
        </w:rPr>
        <w:t xml:space="preserve">Deliverables:</w:t>
      </w:r>
    </w:p>
    <w:p>
      <w:pPr>
        <w:pStyle w:val="ListParagraph"/>
        <w:numPr>
          <w:ilvl w:val="0"/>
          <w:numId w:val="2"/>
        </w:numPr>
        <w:spacing w:after="60" w:line="278"/>
      </w:pPr>
      <w:r>
        <w:rPr>
          <w:rFonts w:ascii="Calibri" w:cs="Calibri" w:eastAsia="Calibri" w:hAnsi="Calibri"/>
          <w:sz w:val="22"/>
          <w:szCs w:val="22"/>
        </w:rPr>
        <w:t xml:space="preserve">Instructor feedback document, including suggested improvements and the grading criteria breakdown</w:t>
      </w:r>
    </w:p>
    <w:p>
      <w:pPr>
        <w:pStyle w:val="ListParagraph"/>
        <w:numPr>
          <w:ilvl w:val="0"/>
          <w:numId w:val="2"/>
        </w:numPr>
        <w:spacing w:after="60" w:line="278"/>
      </w:pPr>
      <w:r>
        <w:rPr>
          <w:rFonts w:ascii="Calibri" w:cs="Calibri" w:eastAsia="Calibri" w:hAnsi="Calibri"/>
          <w:sz w:val="22"/>
          <w:szCs w:val="22"/>
        </w:rPr>
        <w:t xml:space="preserve">Updated proposal and plan reflecting any scope change</w:t>
      </w:r>
    </w:p>
    <w:p>
      <w:pPr>
        <w:pStyle w:val="ListParagraph"/>
        <w:numPr>
          <w:ilvl w:val="0"/>
          <w:numId w:val="2"/>
        </w:numPr>
        <w:spacing w:after="60" w:line="278"/>
      </w:pPr>
      <w:r>
        <w:rPr>
          <w:rFonts w:ascii="Calibri" w:cs="Calibri" w:eastAsia="Calibri" w:hAnsi="Calibri"/>
          <w:sz w:val="22"/>
          <w:szCs w:val="22"/>
        </w:rPr>
        <w:t xml:space="preserve">Final confirmed team membership</w:t>
      </w:r>
    </w:p>
    <w:p>
      <w:pPr>
        <w:pStyle w:val="ListParagraph"/>
        <w:numPr>
          <w:ilvl w:val="0"/>
          <w:numId w:val="2"/>
        </w:numPr>
        <w:spacing w:after="60" w:line="278"/>
      </w:pPr>
      <w:r>
        <w:rPr>
          <w:rFonts w:ascii="Calibri" w:cs="Calibri" w:eastAsia="Calibri" w:hAnsi="Calibri"/>
          <w:sz w:val="22"/>
          <w:szCs w:val="22"/>
        </w:rPr>
        <w:t xml:space="preserve">Automated leakage check running in continuous integration</w:t>
      </w:r>
    </w:p>
    <w:p>
      <w:pPr>
        <w:pStyle w:val="ListParagraph"/>
        <w:numPr>
          <w:ilvl w:val="0"/>
          <w:numId w:val="2"/>
        </w:numPr>
        <w:spacing w:after="60" w:line="278"/>
      </w:pPr>
      <w:r>
        <w:rPr>
          <w:rFonts w:ascii="Calibri" w:cs="Calibri" w:eastAsia="Calibri" w:hAnsi="Calibri"/>
          <w:sz w:val="22"/>
          <w:szCs w:val="22"/>
        </w:rPr>
        <w:t xml:space="preserve">First uplift-versus-response-model comparison on Hillstrom, reported with confidence intervals</w:t>
      </w:r>
    </w:p>
    <w:p>
      <w:pPr>
        <w:pStyle w:val="Heading2"/>
        <w:spacing w:after="120" w:before="220"/>
      </w:pPr>
      <w:r>
        <w:rPr>
          <w:rFonts w:ascii="Times New Roman" w:cs="Times New Roman" w:eastAsia="Times New Roman" w:hAnsi="Times New Roman"/>
          <w:b/>
          <w:bCs/>
          <w:color w:val="1F3864"/>
          <w:sz w:val="24"/>
          <w:szCs w:val="24"/>
        </w:rPr>
        <w:t xml:space="preserve">Week 4 (Programme Week 8): Preparation for Scale</w:t>
      </w:r>
    </w:p>
    <w:p>
      <w:pPr>
        <w:pStyle w:val="ListParagraph"/>
        <w:numPr>
          <w:ilvl w:val="0"/>
          <w:numId w:val="2"/>
        </w:numPr>
        <w:spacing w:after="60" w:line="278"/>
      </w:pPr>
      <w:r>
        <w:rPr>
          <w:rFonts w:ascii="Calibri" w:cs="Calibri" w:eastAsia="Calibri" w:hAnsi="Calibri"/>
          <w:b/>
          <w:bCs/>
          <w:sz w:val="22"/>
          <w:szCs w:val="22"/>
        </w:rPr>
        <w:t xml:space="preserve">Aliaa (M1) — </w:t>
      </w:r>
      <w:r>
        <w:rPr>
          <w:rFonts w:ascii="Calibri" w:cs="Calibri" w:eastAsia="Calibri" w:hAnsi="Calibri"/>
          <w:sz w:val="22"/>
          <w:szCs w:val="22"/>
        </w:rPr>
        <w:t xml:space="preserve">train/validation/test split stratified jointly on treatment and outcome, with assertions on the four cell counts per fold; Criteo ingestion in Parquet with chunked preprocessing.</w:t>
      </w:r>
    </w:p>
    <w:p>
      <w:pPr>
        <w:pStyle w:val="ListParagraph"/>
        <w:numPr>
          <w:ilvl w:val="0"/>
          <w:numId w:val="2"/>
        </w:numPr>
        <w:spacing w:after="60" w:line="278"/>
      </w:pPr>
      <w:r>
        <w:rPr>
          <w:rFonts w:ascii="Calibri" w:cs="Calibri" w:eastAsia="Calibri" w:hAnsi="Calibri"/>
          <w:b/>
          <w:bCs/>
          <w:sz w:val="22"/>
          <w:szCs w:val="22"/>
        </w:rPr>
        <w:t xml:space="preserve">Mohammed (M2) — </w:t>
      </w:r>
      <w:r>
        <w:rPr>
          <w:rFonts w:ascii="Calibri" w:cs="Calibri" w:eastAsia="Calibri" w:hAnsi="Calibri"/>
          <w:sz w:val="22"/>
          <w:szCs w:val="22"/>
        </w:rPr>
        <w:t xml:space="preserve">X-learner implementation, selected because the 85/15 treatment imbalance in Criteo makes the control-side model the weakest part of a plain two-model approach.</w:t>
      </w:r>
    </w:p>
    <w:p>
      <w:pPr>
        <w:pStyle w:val="ListParagraph"/>
        <w:numPr>
          <w:ilvl w:val="0"/>
          <w:numId w:val="2"/>
        </w:numPr>
        <w:spacing w:after="60" w:line="278"/>
      </w:pPr>
      <w:r>
        <w:rPr>
          <w:rFonts w:ascii="Calibri" w:cs="Calibri" w:eastAsia="Calibri" w:hAnsi="Calibri"/>
          <w:b/>
          <w:bCs/>
          <w:sz w:val="22"/>
          <w:szCs w:val="22"/>
        </w:rPr>
        <w:t xml:space="preserve">Mahmoud (M3) — </w:t>
      </w:r>
      <w:r>
        <w:rPr>
          <w:rFonts w:ascii="Calibri" w:cs="Calibri" w:eastAsia="Calibri" w:hAnsi="Calibri"/>
          <w:sz w:val="22"/>
          <w:szCs w:val="22"/>
        </w:rPr>
        <w:t xml:space="preserve">Optuna search skeleton optimising a Qini objective on out-of-fold predictions.</w:t>
      </w:r>
    </w:p>
    <w:p>
      <w:pPr>
        <w:pStyle w:val="ListParagraph"/>
        <w:numPr>
          <w:ilvl w:val="0"/>
          <w:numId w:val="2"/>
        </w:numPr>
        <w:spacing w:after="60" w:line="278"/>
      </w:pPr>
      <w:r>
        <w:rPr>
          <w:rFonts w:ascii="Calibri" w:cs="Calibri" w:eastAsia="Calibri" w:hAnsi="Calibri"/>
          <w:b/>
          <w:bCs/>
          <w:sz w:val="22"/>
          <w:szCs w:val="22"/>
        </w:rPr>
        <w:t xml:space="preserve">Ali (M4) — </w:t>
      </w:r>
      <w:r>
        <w:rPr>
          <w:rFonts w:ascii="Calibri" w:cs="Calibri" w:eastAsia="Calibri" w:hAnsi="Calibri"/>
          <w:sz w:val="22"/>
          <w:szCs w:val="22"/>
        </w:rPr>
        <w:t xml:space="preserve">permuted-treatment negative control; first version of the behavioural and invariance test suite.</w:t>
      </w:r>
    </w:p>
    <w:p>
      <w:pPr>
        <w:pStyle w:val="ListParagraph"/>
        <w:numPr>
          <w:ilvl w:val="0"/>
          <w:numId w:val="2"/>
        </w:numPr>
        <w:spacing w:after="60" w:line="278"/>
      </w:pPr>
      <w:r>
        <w:rPr>
          <w:rFonts w:ascii="Calibri" w:cs="Calibri" w:eastAsia="Calibri" w:hAnsi="Calibri"/>
          <w:b/>
          <w:bCs/>
          <w:sz w:val="22"/>
          <w:szCs w:val="22"/>
        </w:rPr>
        <w:t xml:space="preserve">Mazen (M5) — </w:t>
      </w:r>
      <w:r>
        <w:rPr>
          <w:rFonts w:ascii="Calibri" w:cs="Calibri" w:eastAsia="Calibri" w:hAnsi="Calibri"/>
          <w:sz w:val="22"/>
          <w:szCs w:val="22"/>
        </w:rPr>
        <w:t xml:space="preserve">Docker image building in continuous integration; PostgreSQL schema draft and first ER diagram.</w:t>
      </w:r>
    </w:p>
    <w:p>
      <w:pPr>
        <w:spacing w:after="60" w:line="278"/>
      </w:pPr>
      <w:r>
        <w:rPr>
          <w:rFonts w:ascii="Calibri" w:cs="Calibri" w:eastAsia="Calibri" w:hAnsi="Calibri"/>
          <w:b/>
          <w:bCs/>
          <w:sz w:val="22"/>
          <w:szCs w:val="22"/>
        </w:rPr>
        <w:t xml:space="preserve">Deliverables:</w:t>
      </w:r>
    </w:p>
    <w:p>
      <w:pPr>
        <w:pStyle w:val="ListParagraph"/>
        <w:numPr>
          <w:ilvl w:val="0"/>
          <w:numId w:val="2"/>
        </w:numPr>
        <w:spacing w:after="60" w:line="278"/>
      </w:pPr>
      <w:r>
        <w:rPr>
          <w:rFonts w:ascii="Calibri" w:cs="Calibri" w:eastAsia="Calibri" w:hAnsi="Calibri"/>
          <w:sz w:val="22"/>
          <w:szCs w:val="22"/>
        </w:rPr>
        <w:t xml:space="preserve">Split module with assertions and tests</w:t>
      </w:r>
    </w:p>
    <w:p>
      <w:pPr>
        <w:pStyle w:val="ListParagraph"/>
        <w:numPr>
          <w:ilvl w:val="0"/>
          <w:numId w:val="2"/>
        </w:numPr>
        <w:spacing w:after="60" w:line="278"/>
      </w:pPr>
      <w:r>
        <w:rPr>
          <w:rFonts w:ascii="Calibri" w:cs="Calibri" w:eastAsia="Calibri" w:hAnsi="Calibri"/>
          <w:sz w:val="22"/>
          <w:szCs w:val="22"/>
        </w:rPr>
        <w:t xml:space="preserve">Criteo-UPLIFT loading and preprocessing at full scale</w:t>
      </w:r>
    </w:p>
    <w:p>
      <w:pPr>
        <w:pStyle w:val="ListParagraph"/>
        <w:numPr>
          <w:ilvl w:val="0"/>
          <w:numId w:val="2"/>
        </w:numPr>
        <w:spacing w:after="60" w:line="278"/>
      </w:pPr>
      <w:r>
        <w:rPr>
          <w:rFonts w:ascii="Calibri" w:cs="Calibri" w:eastAsia="Calibri" w:hAnsi="Calibri"/>
          <w:sz w:val="22"/>
          <w:szCs w:val="22"/>
        </w:rPr>
        <w:t xml:space="preserve">Negative-control test implemented and passing</w:t>
      </w:r>
    </w:p>
    <w:p>
      <w:pPr>
        <w:pStyle w:val="ListParagraph"/>
        <w:numPr>
          <w:ilvl w:val="0"/>
          <w:numId w:val="2"/>
        </w:numPr>
        <w:spacing w:after="60" w:line="278"/>
      </w:pPr>
      <w:r>
        <w:rPr>
          <w:rFonts w:ascii="Calibri" w:cs="Calibri" w:eastAsia="Calibri" w:hAnsi="Calibri"/>
          <w:sz w:val="22"/>
          <w:szCs w:val="22"/>
        </w:rPr>
        <w:t xml:space="preserve">Docker build in continuous integration; ER diagram, first version</w:t>
      </w:r>
    </w:p>
    <w:p>
      <w:pPr>
        <w:pStyle w:val="Heading1"/>
        <w:spacing w:after="160" w:before="280"/>
      </w:pPr>
      <w:r>
        <w:rPr>
          <w:rFonts w:ascii="Times New Roman" w:cs="Times New Roman" w:eastAsia="Times New Roman" w:hAnsi="Times New Roman"/>
          <w:b/>
          <w:bCs/>
          <w:color w:val="1F3864"/>
          <w:sz w:val="27"/>
          <w:szCs w:val="27"/>
        </w:rPr>
        <w:t xml:space="preserve">Full Project Plan (Programme Weeks 5–21)</w:t>
      </w:r>
    </w:p>
    <w:p>
      <w:pPr>
        <w:spacing w:after="120" w:line="278"/>
      </w:pPr>
      <w:r>
        <w:rPr>
          <w:rFonts w:ascii="Calibri" w:cs="Calibri" w:eastAsia="Calibri" w:hAnsi="Calibri"/>
          <w:sz w:val="22"/>
          <w:szCs w:val="22"/>
        </w:rPr>
        <w:t xml:space="preserve">Aligned to the official DEPI project steps: Team Formation and Planning (Week 5), Instructor Review (Week 7), Requirements Gathering (Weeks 9–10), System Analysis and Design (from Week 12), Implementation, Testing and Quality Assurance, and Release and Final Presentation (Week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cantSplit/>
          <w:tblHeader/>
        </w:trPr>
        <w:tc>
          <w:tcPr>
            <w:tcW w:type="dxa" w:w="13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Weeks</w:t>
            </w:r>
          </w:p>
        </w:tc>
        <w:tc>
          <w:tcPr>
            <w:tcW w:type="dxa" w:w="25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Milestone</w:t>
            </w:r>
          </w:p>
        </w:tc>
        <w:tc>
          <w:tcPr>
            <w:tcW w:type="dxa" w:w="556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Main work and deliverables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Team Formation &amp; Planning</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Team and roles locked; proposal; project plan and risk register; repository and CI; datasets downloaded and verified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Environment working on every machine; data loading module; first exploratory analysis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Instructor Review</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Presentation and written feedback; team membership final; scope questions answered; first Qini curve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Split module; response-model baseline; Criteo ingestion at scale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9–10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Requirements Gathering</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Stakeholder analysis; user stories and use cases; functional and non-functional requirements; randomization-integrity report on both datasets; task split submitted to the instructor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Full-scale data handling settled; feature pipeline finalised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12–13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Analysis &amp; Design</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Complete design and diagram set; evaluation harness with bootstrap intervals and negative control; first uplift-versus-response-model result on Criteo with a confidence interval</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14–15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Implementation</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Meta-learners finalised; decision layer and policy modes; FastAPI service against the registered model</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16–17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Implementation</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Advanced tier: uplift forest, neural estimator, Optuna study; campaign simulator; dashboard; Azure deployment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Implementation</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Multi-treatment and revenue uplift if on schedule; drift monitoring; CI/CD complete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19–20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Testing &amp; QA</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Full test suite; behavioural and invariance tests; champion confirmed once on the locked test split; error analysis; test cases and bug log</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21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Release &amp; Final Presentation</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Final report; user manual; technical documentation; presentation; rehearsed demonstration; complete repository upload</w:t>
            </w:r>
          </w:p>
        </w:tc>
      </w:tr>
    </w:tbl>
    <w:p>
      <w:pPr>
        <w:spacing w:after="120" w:line="278"/>
      </w:pPr>
      <w:r>
        <w:rPr>
          <w:rFonts w:ascii="Calibri" w:cs="Calibri" w:eastAsia="Calibri" w:hAnsi="Calibri"/>
          <w:sz w:val="22"/>
          <w:szCs w:val="22"/>
        </w:rPr>
        <w:t xml:space="preserve"/>
      </w:r>
    </w:p>
    <w:p>
      <w:pPr>
        <w:spacing w:after="120" w:line="278"/>
      </w:pPr>
      <w:r>
        <w:rPr>
          <w:rFonts w:ascii="Calibri" w:cs="Calibri" w:eastAsia="Calibri" w:hAnsi="Calibri"/>
          <w:b/>
          <w:bCs/>
          <w:sz w:val="22"/>
          <w:szCs w:val="22"/>
        </w:rPr>
        <w:t xml:space="preserve">Two dates the team protects above all others: </w:t>
      </w:r>
      <w:r>
        <w:rPr>
          <w:rFonts w:ascii="Calibri" w:cs="Calibri" w:eastAsia="Calibri" w:hAnsi="Calibri"/>
          <w:sz w:val="22"/>
          <w:szCs w:val="22"/>
        </w:rPr>
        <w:t xml:space="preserve">the randomization-integrity report by the end of Week 10, and the uplift-versus-response-model comparison by the end of Week 13. Everything else can slip by a week without damage. If either of these slips, the project loses the ability to react to what it finds.</w:t>
      </w:r>
    </w:p>
    <w:p>
      <w:pPr>
        <w:pStyle w:val="Heading1"/>
        <w:spacing w:after="160" w:before="280"/>
      </w:pPr>
      <w:r>
        <w:rPr>
          <w:rFonts w:ascii="Times New Roman" w:cs="Times New Roman" w:eastAsia="Times New Roman" w:hAnsi="Times New Roman"/>
          <w:b/>
          <w:bCs/>
          <w:color w:val="1F3864"/>
          <w:sz w:val="27"/>
          <w:szCs w:val="27"/>
        </w:rPr>
        <w:t xml:space="preserve">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cantSplit/>
          <w:tblHeader/>
        </w:trPr>
        <w:tc>
          <w:tcPr>
            <w:tcW w:type="dxa" w:w="33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Risk</w:t>
            </w:r>
          </w:p>
        </w:tc>
        <w:tc>
          <w:tcPr>
            <w:tcW w:type="dxa" w:w="130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Severity</w:t>
            </w:r>
          </w:p>
        </w:tc>
        <w:tc>
          <w:tcPr>
            <w:tcW w:type="dxa" w:w="4760"/>
            <w:tcBorders>
              <w:top w:val="single" w:color="BFBFBF" w:sz="4"/>
              <w:left w:val="single" w:color="BFBFBF" w:sz="4"/>
              <w:bottom w:val="single" w:color="BFBFBF" w:sz="4"/>
              <w:right w:val="single" w:color="BFBFBF" w:sz="4"/>
            </w:tcBorders>
            <w:shd w:fill="EDF0F7" w:val="clear"/>
            <w:tcMar>
              <w:top w:type="dxa" w:w="60"/>
              <w:left w:type="dxa" w:w="90"/>
              <w:bottom w:type="dxa" w:w="60"/>
              <w:right w:type="dxa" w:w="90"/>
            </w:tcMar>
          </w:tcPr>
          <w:p>
            <w:pPr>
              <w:spacing w:after="0" w:line="260"/>
            </w:pPr>
            <w:r>
              <w:rPr>
                <w:rFonts w:ascii="Calibri" w:cs="Calibri" w:eastAsia="Calibri" w:hAnsi="Calibri"/>
                <w:b/>
                <w:bCs/>
                <w:sz w:val="20"/>
                <w:szCs w:val="20"/>
              </w:rPr>
              <w:t xml:space="preserve">Mitigation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Uplift targeting does not beat the response model on this data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High</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Run the comparison by Week 13, not Week 19. A negative result becomes an investigation into why, which is a legitimate and often stronger result — only discovering it late is a failure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Treatment effects too small to separate from noise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High</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Develop against the visit target (rate 0.047) as well as conversion (0.0029); report both; use the abstention path rather than reporting an inconclusive number as a finding</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No computer vision or NLP component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Medium–High</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Raised explicitly at the Week 7 instructor review and answered in writing before implementation begins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Uneven workload — a tabular ML project can leave part of the team without substantial work</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Medium–High</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Evaluation and statistics, the decision layer and simulator, and the MLOps and product surface are defined as three independent workstreams; every member owns a component that appears in the demonstration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Tuning against the test split (metric overfitting)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Locked test split, opened once for champion confirmation, with the rule written down before it is opened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Silent data leakage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Automated forbidden-column check in CI, plus the permuted-treatment negative control, which catches what the check misses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Scale problems on 14 million rows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Low–Medium</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Parquet with column subsets, chunked preprocessing, stratified subsample for iteration, full data only for reported results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Azure credit exhausted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Low</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Train locally; shut down compute after each session; budget alert set well below the limit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Live demonstration failure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Low</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Recorded demonstration video and a local fallback mode that runs without the cloud endpoint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Describing the replay as if it were a live campaign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High</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The proposal and the specification both state up front that the datasets are historical and that the loop is a simulated replay over a held-out split. Any claim about live operation is marked as deployment design, not project work</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Overclaiming simulated business figures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60"/>
            </w:pPr>
            <w:r>
              <w:rPr>
                <w:rFonts w:ascii="Calibri" w:cs="Calibri" w:eastAsia="Calibri" w:hAnsi="Calibri"/>
                <w:sz w:val="20"/>
                <w:szCs w:val="20"/>
              </w:rPr>
              <w:t xml:space="preserve">A fixed reporting convention: estimated incremental-profit opportunity under stated cost and margin assumptions, never realised savings; applied in the report, the README and any CV line</w:t>
            </w:r>
          </w:p>
        </w:tc>
      </w:tr>
    </w:tbl>
    <w:p>
      <w:pPr>
        <w:spacing w:after="120" w:line="278"/>
      </w:pPr>
      <w:r>
        <w:rPr>
          <w:rFonts w:ascii="Calibri" w:cs="Calibri" w:eastAsia="Calibri" w:hAnsi="Calibri"/>
          <w:sz w:val="22"/>
          <w:szCs w:val="22"/>
        </w:rPr>
        <w:t xml:space="preserve"/>
      </w:r>
    </w:p>
    <w:p>
      <w:pPr>
        <w:spacing w:after="120" w:line="278"/>
      </w:pPr>
      <w:r>
        <w:rPr>
          <w:rFonts w:ascii="Calibri" w:cs="Calibri" w:eastAsia="Calibri" w:hAnsi="Calibri"/>
          <w:i/>
          <w:iCs/>
          <w:sz w:val="20"/>
          <w:szCs w:val="20"/>
        </w:rPr>
        <w:t xml:space="preserve">Prepared by the project team for instructor review. All dataset figures quoted in this proposal are taken from the datasets' published documentation and will be re-verified against the downloaded files during Week 5.</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2026-09-13T20:10:49.754Z</dcterms:created>
  <dcterms:modified xsi:type="dcterms:W3CDTF">2026-09-13T20:10:49.754Z</dcterms:modified>
</cp:coreProperties>
</file>

<file path=docProps/custom.xml><?xml version="1.0" encoding="utf-8"?>
<Properties xmlns="http://schemas.openxmlformats.org/officeDocument/2006/custom-properties" xmlns:vt="http://schemas.openxmlformats.org/officeDocument/2006/docPropsVTypes"/>
</file>