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B365D"/>
          <w:sz w:val="44"/>
        </w:rPr>
        <w:t>React Internationalization (i18n) &amp; Arabic RTL Engineering</w:t>
      </w:r>
    </w:p>
    <w:p>
      <w:pPr>
        <w:spacing w:before="0" w:after="320"/>
      </w:pPr>
      <w:r>
        <w:rPr>
          <w:rFonts w:ascii="Calibri" w:hAnsi="Calibri"/>
          <w:b/>
          <w:color w:val="0D8259"/>
          <w:sz w:val="26"/>
        </w:rPr>
        <w:t>Exhaustive Technical Research, 9-Method Comparative Ranking, and QuickBox Dashboard Implementation Blueprint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tblHeader/>
          <w:cantSplit/>
        </w:trPr>
        <w:tc>
          <w:tcPr>
            <w:tcW w:type="dxa" w:w="3168"/>
            <w:shd w:fill="1B365D"/>
            <w:tcMar>
              <w:top w:w="120" w:type="dxa"/>
              <w:bottom w:w="120" w:type="dxa"/>
              <w:left w:w="140" w:type="dxa"/>
              <w:right w:w="140" w:type="dxa"/>
            </w:tcMar>
          </w:tcPr>
          <w:p>
            <w:pPr>
              <w:spacing w:before="0" w:after="0"/>
              <w:jc w:val="left"/>
            </w:pPr>
            <w:r>
              <w:rPr>
                <w:rFonts w:ascii="Calibri" w:hAnsi="Calibri"/>
                <w:b/>
                <w:color w:val="FFFFFF"/>
                <w:sz w:val="19"/>
              </w:rPr>
              <w:t>Metadata Dimension</w:t>
            </w:r>
          </w:p>
        </w:tc>
        <w:tc>
          <w:tcPr>
            <w:tcW w:type="dxa" w:w="6192"/>
            <w:shd w:fill="1B365D"/>
            <w:tcMar>
              <w:top w:w="120" w:type="dxa"/>
              <w:bottom w:w="120" w:type="dxa"/>
              <w:left w:w="140" w:type="dxa"/>
              <w:right w:w="140" w:type="dxa"/>
            </w:tcMar>
          </w:tcPr>
          <w:p>
            <w:pPr>
              <w:spacing w:before="0" w:after="0"/>
              <w:jc w:val="left"/>
            </w:pPr>
            <w:r>
              <w:rPr>
                <w:rFonts w:ascii="Calibri" w:hAnsi="Calibri"/>
                <w:b/>
                <w:color w:val="FFFFFF"/>
                <w:sz w:val="19"/>
              </w:rPr>
              <w:t>Specification / Value</w:t>
            </w:r>
          </w:p>
        </w:tc>
      </w:tr>
      <w:tr>
        <w:trPr>
          <w:cantSplit/>
        </w:trPr>
        <w:tc>
          <w:tcPr>
            <w:tcW w:type="dxa" w:w="316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Document Version</w:t>
            </w:r>
          </w:p>
        </w:tc>
        <w:tc>
          <w:tcPr>
            <w:tcW w:type="dxa" w:w="6192"/>
            <w:shd w:fill="F8FAFC"/>
            <w:tcMar>
              <w:top w:w="90" w:type="dxa"/>
              <w:bottom w:w="90" w:type="dxa"/>
              <w:left w:w="120" w:type="dxa"/>
              <w:right w:w="120" w:type="dxa"/>
            </w:tcMar>
          </w:tcPr>
          <w:p>
            <w:pPr>
              <w:spacing w:before="0" w:after="0" w:line="276" w:lineRule="auto"/>
              <w:jc w:val="left"/>
            </w:pPr>
            <w:r>
              <w:rPr>
                <w:rFonts w:ascii="Calibri" w:hAnsi="Calibri"/>
                <w:color w:val="1E293B"/>
                <w:sz w:val="18"/>
              </w:rPr>
              <w:t>2.0.0 Enterprise Architectural Release</w:t>
            </w:r>
          </w:p>
        </w:tc>
      </w:tr>
      <w:tr>
        <w:trPr>
          <w:cantSplit/>
        </w:trPr>
        <w:tc>
          <w:tcPr>
            <w:tcW w:type="dxa" w:w="316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Target Application</w:t>
            </w:r>
          </w:p>
        </w:tc>
        <w:tc>
          <w:tcPr>
            <w:tcW w:type="dxa" w:w="6192"/>
            <w:shd w:fill="FFFFFF"/>
            <w:tcMar>
              <w:top w:w="90" w:type="dxa"/>
              <w:bottom w:w="90" w:type="dxa"/>
              <w:left w:w="120" w:type="dxa"/>
              <w:right w:w="120" w:type="dxa"/>
            </w:tcMar>
          </w:tcPr>
          <w:p>
            <w:pPr>
              <w:spacing w:before="0" w:after="0" w:line="276" w:lineRule="auto"/>
              <w:jc w:val="left"/>
            </w:pPr>
            <w:r>
              <w:rPr>
                <w:rFonts w:ascii="Calibri" w:hAnsi="Calibri"/>
                <w:color w:val="1E293B"/>
                <w:sz w:val="18"/>
              </w:rPr>
              <w:t>QuickBox ERP &amp; Financial Management Dashboard (`react-dashboard`)</w:t>
            </w:r>
          </w:p>
        </w:tc>
      </w:tr>
      <w:tr>
        <w:trPr>
          <w:cantSplit/>
        </w:trPr>
        <w:tc>
          <w:tcPr>
            <w:tcW w:type="dxa" w:w="316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Runtime Environment</w:t>
            </w:r>
          </w:p>
        </w:tc>
        <w:tc>
          <w:tcPr>
            <w:tcW w:type="dxa" w:w="6192"/>
            <w:shd w:fill="F8FAFC"/>
            <w:tcMar>
              <w:top w:w="90" w:type="dxa"/>
              <w:bottom w:w="90" w:type="dxa"/>
              <w:left w:w="120" w:type="dxa"/>
              <w:right w:w="120" w:type="dxa"/>
            </w:tcMar>
          </w:tcPr>
          <w:p>
            <w:pPr>
              <w:spacing w:before="0" w:after="0" w:line="276" w:lineRule="auto"/>
              <w:jc w:val="left"/>
            </w:pPr>
            <w:r>
              <w:rPr>
                <w:rFonts w:ascii="Calibri" w:hAnsi="Calibri"/>
                <w:color w:val="1E293B"/>
                <w:sz w:val="18"/>
              </w:rPr>
              <w:t>React 19.2.7, Vite 8.1.1, React Router 7.18, Phosphor Icons 2.1</w:t>
            </w:r>
          </w:p>
        </w:tc>
      </w:tr>
      <w:tr>
        <w:trPr>
          <w:cantSplit/>
        </w:trPr>
        <w:tc>
          <w:tcPr>
            <w:tcW w:type="dxa" w:w="316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Geographic / Regulatory Scope</w:t>
            </w:r>
          </w:p>
        </w:tc>
        <w:tc>
          <w:tcPr>
            <w:tcW w:type="dxa" w:w="6192"/>
            <w:shd w:fill="FFFFFF"/>
            <w:tcMar>
              <w:top w:w="90" w:type="dxa"/>
              <w:bottom w:w="90" w:type="dxa"/>
              <w:left w:w="120" w:type="dxa"/>
              <w:right w:w="120" w:type="dxa"/>
            </w:tcMar>
          </w:tcPr>
          <w:p>
            <w:pPr>
              <w:spacing w:before="0" w:after="0" w:line="276" w:lineRule="auto"/>
              <w:jc w:val="left"/>
            </w:pPr>
            <w:r>
              <w:rPr>
                <w:rFonts w:ascii="Calibri" w:hAnsi="Calibri"/>
                <w:color w:val="1E293B"/>
                <w:sz w:val="18"/>
              </w:rPr>
              <w:t>Jordanian Accounting Standards, JOD Currency, bilingual English / Modern Standard Arabic</w:t>
            </w:r>
          </w:p>
        </w:tc>
      </w:tr>
      <w:tr>
        <w:trPr>
          <w:cantSplit/>
        </w:trPr>
        <w:tc>
          <w:tcPr>
            <w:tcW w:type="dxa" w:w="316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Primary Author</w:t>
            </w:r>
          </w:p>
        </w:tc>
        <w:tc>
          <w:tcPr>
            <w:tcW w:type="dxa" w:w="6192"/>
            <w:shd w:fill="F8FAFC"/>
            <w:tcMar>
              <w:top w:w="90" w:type="dxa"/>
              <w:bottom w:w="90" w:type="dxa"/>
              <w:left w:w="120" w:type="dxa"/>
              <w:right w:w="120" w:type="dxa"/>
            </w:tcMar>
          </w:tcPr>
          <w:p>
            <w:pPr>
              <w:spacing w:before="0" w:after="0" w:line="276" w:lineRule="auto"/>
              <w:jc w:val="left"/>
            </w:pPr>
            <w:r>
              <w:rPr>
                <w:rFonts w:ascii="Calibri" w:hAnsi="Calibri"/>
                <w:color w:val="1E293B"/>
                <w:sz w:val="18"/>
              </w:rPr>
              <w:t>Frontend Architecture &amp; Enterprise Localization Taskforce</w:t>
            </w:r>
          </w:p>
        </w:tc>
      </w:tr>
      <w:tr>
        <w:trPr>
          <w:cantSplit/>
        </w:trPr>
        <w:tc>
          <w:tcPr>
            <w:tcW w:type="dxa" w:w="316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Date of Publication</w:t>
            </w:r>
          </w:p>
        </w:tc>
        <w:tc>
          <w:tcPr>
            <w:tcW w:type="dxa" w:w="6192"/>
            <w:shd w:fill="FFFFFF"/>
            <w:tcMar>
              <w:top w:w="90" w:type="dxa"/>
              <w:bottom w:w="90" w:type="dxa"/>
              <w:left w:w="120" w:type="dxa"/>
              <w:right w:w="120" w:type="dxa"/>
            </w:tcMar>
          </w:tcPr>
          <w:p>
            <w:pPr>
              <w:spacing w:before="0" w:after="0" w:line="276" w:lineRule="auto"/>
              <w:jc w:val="left"/>
            </w:pPr>
            <w:r>
              <w:rPr>
                <w:rFonts w:ascii="Calibri" w:hAnsi="Calibri"/>
                <w:color w:val="1E293B"/>
                <w:sz w:val="18"/>
              </w:rPr>
              <w:t>August 2026</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none"/>
              <w:left w:val="single" w:sz="24" w:space="0" w:color="1B365D"/>
              <w:bottom w:val="none"/>
              <w:right w:val="none"/>
            </w:tcBorders>
          </w:tcPr>
          <w:p>
            <w:pPr>
              <w:spacing w:before="0" w:after="80" w:line="276" w:lineRule="auto"/>
            </w:pPr>
            <w:r>
              <w:rPr>
                <w:rFonts w:ascii="Calibri" w:hAnsi="Calibri"/>
                <w:b/>
                <w:color w:val="1B365D"/>
                <w:sz w:val="21"/>
              </w:rPr>
              <w:t>[KEY ARCHITECTURAL TAKEAWAY] Executive Engineering Mandate</w:t>
              <w:br/>
            </w:r>
            <w:r>
              <w:rPr>
                <w:rFonts w:ascii="Calibri" w:hAnsi="Calibri"/>
                <w:color w:val="1E293B"/>
                <w:sz w:val="20"/>
              </w:rPr>
              <w:t>This specification establishes the definitive standard for internationalization (i18n) and Right-to-Left (RTL) localization across the QuickBox enterprise suite. It details an exhaustive evaluation of 9 distinct React translation frameworks, ranks them strictly according to suitability for a Vite/React 19 single-page application, and provides complete engineering rules for bidirectional typography, layout, icons, number isolation, and Jordanian accounting terminology.</w:t>
            </w:r>
          </w:p>
        </w:tc>
      </w:tr>
    </w:tbl>
    <w:p>
      <w:pPr>
        <w:spacing w:before="0" w:after="80"/>
      </w:pPr>
    </w:p>
    <w:p>
      <w:pPr>
        <w:keepNext/>
        <w:spacing w:before="360" w:after="120"/>
      </w:pPr>
      <w:r>
        <w:rPr>
          <w:rFonts w:ascii="Calibri" w:hAnsi="Calibri"/>
          <w:b/>
          <w:color w:val="1B365D"/>
          <w:sz w:val="32"/>
        </w:rPr>
        <w:t>Section 1: Executive Summary &amp; Comprehensive Ranking Matrix</w:t>
      </w:r>
    </w:p>
    <w:p>
      <w:pPr>
        <w:spacing w:before="0" w:after="120" w:line="276" w:lineRule="auto"/>
      </w:pPr>
      <w:r>
        <w:rPr>
          <w:rFonts w:ascii="Calibri" w:hAnsi="Calibri"/>
          <w:color w:val="1E293B"/>
          <w:sz w:val="20"/>
        </w:rPr>
        <w:t>Internationalization (i18n) and Localization (l10n) in modern single-page applications represent far more than simple key-value string substitution. In an enterprise financial and inventory dashboard such as QuickBox, introducing a right-to-left (RTL) language like Arabic introduces multi-layered engineering challenges spanning:</w:t>
      </w:r>
    </w:p>
    <w:p>
      <w:pPr>
        <w:pStyle w:val="ListBullet"/>
        <w:spacing w:before="0" w:after="60" w:line="276" w:lineRule="auto"/>
      </w:pPr>
      <w:r>
        <w:rPr>
          <w:rFonts w:ascii="Calibri" w:hAnsi="Calibri"/>
          <w:b/>
          <w:color w:val="1E293B"/>
          <w:sz w:val="20"/>
        </w:rPr>
        <w:t>1. Linguistic Complexity:</w:t>
      </w:r>
      <w:r>
        <w:rPr>
          <w:rFonts w:ascii="Calibri" w:hAnsi="Calibri"/>
          <w:color w:val="1E293B"/>
          <w:sz w:val="20"/>
        </w:rPr>
        <w:t xml:space="preserve"> Arabic features a 6-tier grammatical pluralization system (CLDR categories: zero, one, two, few, many, other), grammatical gender agreement, and contextual morphological conjugation.</w:t>
      </w:r>
    </w:p>
    <w:p>
      <w:pPr>
        <w:pStyle w:val="ListBullet"/>
        <w:spacing w:before="0" w:after="60" w:line="276" w:lineRule="auto"/>
      </w:pPr>
      <w:r>
        <w:rPr>
          <w:rFonts w:ascii="Calibri" w:hAnsi="Calibri"/>
          <w:b/>
          <w:color w:val="1E293B"/>
          <w:sz w:val="20"/>
        </w:rPr>
        <w:t>2. Bidirectional (BiDi) Layout Engine:</w:t>
      </w:r>
      <w:r>
        <w:rPr>
          <w:rFonts w:ascii="Calibri" w:hAnsi="Calibri"/>
          <w:color w:val="1E293B"/>
          <w:sz w:val="20"/>
        </w:rPr>
        <w:t xml:space="preserve"> Transitioning from Left-to-Right (LTR) English to Right-to-Left (RTL) Arabic requires mirroring the document box model, flex/grid coordinates, coordinate offsets, scroll positions, and typography baselines without breaking bidirectional inline content (e.g., numbers, currency codes, English SKUs).</w:t>
      </w:r>
    </w:p>
    <w:p>
      <w:pPr>
        <w:pStyle w:val="ListBullet"/>
        <w:spacing w:before="0" w:after="60" w:line="276" w:lineRule="auto"/>
      </w:pPr>
      <w:r>
        <w:rPr>
          <w:rFonts w:ascii="Calibri" w:hAnsi="Calibri"/>
          <w:b/>
          <w:color w:val="1E293B"/>
          <w:sz w:val="20"/>
        </w:rPr>
        <w:t>3. Iconography &amp; Visual Metaphor Semantics:</w:t>
      </w:r>
      <w:r>
        <w:rPr>
          <w:rFonts w:ascii="Calibri" w:hAnsi="Calibri"/>
          <w:color w:val="1E293B"/>
          <w:sz w:val="20"/>
        </w:rPr>
        <w:t xml:space="preserve"> Determining which icons must flip (directional navigation, progress) versus which must remain invariant (search lenses, clocks, download arrows, media controls).</w:t>
      </w:r>
    </w:p>
    <w:p>
      <w:pPr>
        <w:pStyle w:val="ListBullet"/>
        <w:spacing w:before="0" w:after="60" w:line="276" w:lineRule="auto"/>
      </w:pPr>
      <w:r>
        <w:rPr>
          <w:rFonts w:ascii="Calibri" w:hAnsi="Calibri"/>
          <w:b/>
          <w:color w:val="1E293B"/>
          <w:sz w:val="20"/>
        </w:rPr>
        <w:t>4. Typography &amp; Optical Balance:</w:t>
      </w:r>
      <w:r>
        <w:rPr>
          <w:rFonts w:ascii="Calibri" w:hAnsi="Calibri"/>
          <w:color w:val="1E293B"/>
          <w:sz w:val="20"/>
        </w:rPr>
        <w:t xml:space="preserve"> Accommodating Arabic scripts that have higher vertical ascenders/descenders, requiring line-height expansions (1.6–1.8 vs. Latin 1.4–1.5) and specific font pairing (Cairo, IBM Plex Sans Arabic, Tajawal).</w:t>
      </w:r>
    </w:p>
    <w:p>
      <w:pPr>
        <w:pStyle w:val="ListBullet"/>
        <w:spacing w:before="0" w:after="60" w:line="276" w:lineRule="auto"/>
      </w:pPr>
      <w:r>
        <w:rPr>
          <w:rFonts w:ascii="Calibri" w:hAnsi="Calibri"/>
          <w:b/>
          <w:color w:val="1E293B"/>
          <w:sz w:val="20"/>
        </w:rPr>
        <w:t>5. Runtime Architecture &amp; Bundle Budget:</w:t>
      </w:r>
      <w:r>
        <w:rPr>
          <w:rFonts w:ascii="Calibri" w:hAnsi="Calibri"/>
          <w:color w:val="1E293B"/>
          <w:sz w:val="20"/>
        </w:rPr>
        <w:t xml:space="preserve"> Balancing bundle size, React 19 re-render reactivity, dynamic namespace chunk loading, and type safety across 35+ complex dashboard views.</w:t>
      </w:r>
    </w:p>
    <w:p>
      <w:pPr>
        <w:keepNext/>
        <w:spacing w:before="280" w:after="80"/>
      </w:pPr>
      <w:r>
        <w:rPr>
          <w:rFonts w:ascii="Calibri" w:hAnsi="Calibri"/>
          <w:b/>
          <w:color w:val="0D8259"/>
          <w:sz w:val="26"/>
        </w:rPr>
        <w:t>1.1 Master Comparative Evaluation Matrix (All 9 Methods)</w:t>
      </w:r>
    </w:p>
    <w:p>
      <w:pPr>
        <w:spacing w:before="0" w:after="120" w:line="276" w:lineRule="auto"/>
      </w:pPr>
      <w:r>
        <w:rPr>
          <w:rFonts w:ascii="Calibri" w:hAnsi="Calibri"/>
          <w:color w:val="1E293B"/>
          <w:sz w:val="20"/>
        </w:rPr>
        <w:t>The following multi-factor evaluation matrix summarizes all 9 investigated methods across 8 critical engineering dimensions. Scoring is specifically weighted for the QuickBox technical baseline (Vite 8.x, React 19.x, client-side SPA, Jordanian financial compliance):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rPr>
          <w:tblHeader/>
          <w:cantSplit/>
        </w:trPr>
        <w:tc>
          <w:tcPr>
            <w:tcW w:type="dxa" w:w="1728"/>
            <w:shd w:fill="1B365D"/>
            <w:tcMar>
              <w:top w:w="120" w:type="dxa"/>
              <w:bottom w:w="120" w:type="dxa"/>
              <w:left w:w="140" w:type="dxa"/>
              <w:right w:w="140" w:type="dxa"/>
            </w:tcMar>
          </w:tcPr>
          <w:p>
            <w:pPr>
              <w:spacing w:before="0" w:after="0"/>
              <w:jc w:val="left"/>
            </w:pPr>
            <w:r>
              <w:rPr>
                <w:rFonts w:ascii="Calibri" w:hAnsi="Calibri"/>
                <w:b/>
                <w:color w:val="FFFFFF"/>
                <w:sz w:val="19"/>
              </w:rPr>
              <w:t>Rank / Method</w:t>
            </w:r>
          </w:p>
        </w:tc>
        <w:tc>
          <w:tcPr>
            <w:tcW w:type="dxa" w:w="720"/>
            <w:shd w:fill="1B365D"/>
            <w:tcMar>
              <w:top w:w="120" w:type="dxa"/>
              <w:bottom w:w="120" w:type="dxa"/>
              <w:left w:w="140" w:type="dxa"/>
              <w:right w:w="140" w:type="dxa"/>
            </w:tcMar>
          </w:tcPr>
          <w:p>
            <w:pPr>
              <w:spacing w:before="0" w:after="0"/>
              <w:jc w:val="left"/>
            </w:pPr>
            <w:r>
              <w:rPr>
                <w:rFonts w:ascii="Calibri" w:hAnsi="Calibri"/>
                <w:b/>
                <w:color w:val="FFFFFF"/>
                <w:sz w:val="19"/>
              </w:rPr>
              <w:t>Score</w:t>
            </w:r>
          </w:p>
        </w:tc>
        <w:tc>
          <w:tcPr>
            <w:tcW w:type="dxa" w:w="1152"/>
            <w:shd w:fill="1B365D"/>
            <w:tcMar>
              <w:top w:w="120" w:type="dxa"/>
              <w:bottom w:w="120" w:type="dxa"/>
              <w:left w:w="140" w:type="dxa"/>
              <w:right w:w="140" w:type="dxa"/>
            </w:tcMar>
          </w:tcPr>
          <w:p>
            <w:pPr>
              <w:spacing w:before="0" w:after="0"/>
              <w:jc w:val="left"/>
            </w:pPr>
            <w:r>
              <w:rPr>
                <w:rFonts w:ascii="Calibri" w:hAnsi="Calibri"/>
                <w:b/>
                <w:color w:val="FFFFFF"/>
                <w:sz w:val="19"/>
              </w:rPr>
              <w:t>Bundle (Gzip)</w:t>
            </w:r>
          </w:p>
        </w:tc>
        <w:tc>
          <w:tcPr>
            <w:tcW w:type="dxa" w:w="1296"/>
            <w:shd w:fill="1B365D"/>
            <w:tcMar>
              <w:top w:w="120" w:type="dxa"/>
              <w:bottom w:w="120" w:type="dxa"/>
              <w:left w:w="140" w:type="dxa"/>
              <w:right w:w="140" w:type="dxa"/>
            </w:tcMar>
          </w:tcPr>
          <w:p>
            <w:pPr>
              <w:spacing w:before="0" w:after="0"/>
              <w:jc w:val="left"/>
            </w:pPr>
            <w:r>
              <w:rPr>
                <w:rFonts w:ascii="Calibri" w:hAnsi="Calibri"/>
                <w:b/>
                <w:color w:val="FFFFFF"/>
                <w:sz w:val="19"/>
              </w:rPr>
              <w:t>Arabic 6 Plurals</w:t>
            </w:r>
          </w:p>
        </w:tc>
        <w:tc>
          <w:tcPr>
            <w:tcW w:type="dxa" w:w="1296"/>
            <w:shd w:fill="1B365D"/>
            <w:tcMar>
              <w:top w:w="120" w:type="dxa"/>
              <w:bottom w:w="120" w:type="dxa"/>
              <w:left w:w="140" w:type="dxa"/>
              <w:right w:w="140" w:type="dxa"/>
            </w:tcMar>
          </w:tcPr>
          <w:p>
            <w:pPr>
              <w:spacing w:before="0" w:after="0"/>
              <w:jc w:val="left"/>
            </w:pPr>
            <w:r>
              <w:rPr>
                <w:rFonts w:ascii="Calibri" w:hAnsi="Calibri"/>
                <w:b/>
                <w:color w:val="FFFFFF"/>
                <w:sz w:val="19"/>
              </w:rPr>
              <w:t>React 19 / Vite</w:t>
            </w:r>
          </w:p>
        </w:tc>
        <w:tc>
          <w:tcPr>
            <w:tcW w:type="dxa" w:w="1152"/>
            <w:shd w:fill="1B365D"/>
            <w:tcMar>
              <w:top w:w="120" w:type="dxa"/>
              <w:bottom w:w="120" w:type="dxa"/>
              <w:left w:w="140" w:type="dxa"/>
              <w:right w:w="140" w:type="dxa"/>
            </w:tcMar>
          </w:tcPr>
          <w:p>
            <w:pPr>
              <w:spacing w:before="0" w:after="0"/>
              <w:jc w:val="left"/>
            </w:pPr>
            <w:r>
              <w:rPr>
                <w:rFonts w:ascii="Calibri" w:hAnsi="Calibri"/>
                <w:b/>
                <w:color w:val="FFFFFF"/>
                <w:sz w:val="19"/>
              </w:rPr>
              <w:t>Namespace Splitting</w:t>
            </w:r>
          </w:p>
        </w:tc>
        <w:tc>
          <w:tcPr>
            <w:tcW w:type="dxa" w:w="1008"/>
            <w:shd w:fill="1B365D"/>
            <w:tcMar>
              <w:top w:w="120" w:type="dxa"/>
              <w:bottom w:w="120" w:type="dxa"/>
              <w:left w:w="140" w:type="dxa"/>
              <w:right w:w="140" w:type="dxa"/>
            </w:tcMar>
          </w:tcPr>
          <w:p>
            <w:pPr>
              <w:spacing w:before="0" w:after="0"/>
              <w:jc w:val="left"/>
            </w:pPr>
            <w:r>
              <w:rPr>
                <w:rFonts w:ascii="Calibri" w:hAnsi="Calibri"/>
                <w:b/>
                <w:color w:val="FFFFFF"/>
                <w:sz w:val="19"/>
              </w:rPr>
              <w:t>Type Safety</w:t>
            </w:r>
          </w:p>
        </w:tc>
        <w:tc>
          <w:tcPr>
            <w:tcW w:type="dxa" w:w="1728"/>
            <w:shd w:fill="1B365D"/>
            <w:tcMar>
              <w:top w:w="120" w:type="dxa"/>
              <w:bottom w:w="120" w:type="dxa"/>
              <w:left w:w="140" w:type="dxa"/>
              <w:right w:w="140" w:type="dxa"/>
            </w:tcMar>
          </w:tcPr>
          <w:p>
            <w:pPr>
              <w:spacing w:before="0" w:after="0"/>
              <w:jc w:val="left"/>
            </w:pPr>
            <w:r>
              <w:rPr>
                <w:rFonts w:ascii="Calibri" w:hAnsi="Calibri"/>
                <w:b/>
                <w:color w:val="FFFFFF"/>
                <w:sz w:val="19"/>
              </w:rPr>
              <w:t>Verdict / Recommendation</w:t>
            </w:r>
          </w:p>
        </w:tc>
      </w:tr>
      <w:tr>
        <w:trPr>
          <w:cantSplit/>
        </w:trPr>
        <w:tc>
          <w:tcPr>
            <w:tcW w:type="dxa" w:w="172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#1 react-i18next</w:t>
            </w:r>
          </w:p>
        </w:tc>
        <w:tc>
          <w:tcPr>
            <w:tcW w:type="dxa" w:w="720"/>
            <w:shd w:fill="F8FAFC"/>
            <w:tcMar>
              <w:top w:w="90" w:type="dxa"/>
              <w:bottom w:w="90" w:type="dxa"/>
              <w:left w:w="120" w:type="dxa"/>
              <w:right w:w="120" w:type="dxa"/>
            </w:tcMar>
          </w:tcPr>
          <w:p>
            <w:pPr>
              <w:spacing w:before="0" w:after="0" w:line="276" w:lineRule="auto"/>
              <w:jc w:val="left"/>
            </w:pPr>
            <w:r>
              <w:rPr>
                <w:rFonts w:ascii="Calibri" w:hAnsi="Calibri"/>
                <w:color w:val="1E293B"/>
                <w:sz w:val="18"/>
              </w:rPr>
              <w:t>98/100</w:t>
            </w:r>
          </w:p>
        </w:tc>
        <w:tc>
          <w:tcPr>
            <w:tcW w:type="dxa" w:w="1152"/>
            <w:shd w:fill="F8FAFC"/>
            <w:tcMar>
              <w:top w:w="90" w:type="dxa"/>
              <w:bottom w:w="90" w:type="dxa"/>
              <w:left w:w="120" w:type="dxa"/>
              <w:right w:w="120" w:type="dxa"/>
            </w:tcMar>
          </w:tcPr>
          <w:p>
            <w:pPr>
              <w:spacing w:before="0" w:after="0" w:line="276" w:lineRule="auto"/>
              <w:jc w:val="left"/>
            </w:pPr>
            <w:r>
              <w:rPr>
                <w:rFonts w:ascii="Calibri" w:hAnsi="Calibri"/>
                <w:color w:val="1E293B"/>
                <w:sz w:val="18"/>
              </w:rPr>
              <w:t>~11.8 KB</w:t>
            </w:r>
          </w:p>
        </w:tc>
        <w:tc>
          <w:tcPr>
            <w:tcW w:type="dxa" w:w="1296"/>
            <w:shd w:fill="F8FAFC"/>
            <w:tcMar>
              <w:top w:w="90" w:type="dxa"/>
              <w:bottom w:w="90" w:type="dxa"/>
              <w:left w:w="120" w:type="dxa"/>
              <w:right w:w="120" w:type="dxa"/>
            </w:tcMar>
          </w:tcPr>
          <w:p>
            <w:pPr>
              <w:spacing w:before="0" w:after="0" w:line="276" w:lineRule="auto"/>
              <w:jc w:val="left"/>
            </w:pPr>
            <w:r>
              <w:rPr>
                <w:rFonts w:ascii="Calibri" w:hAnsi="Calibri"/>
                <w:color w:val="1E293B"/>
                <w:sz w:val="18"/>
              </w:rPr>
              <w:t>Native (v21+)</w:t>
            </w:r>
          </w:p>
        </w:tc>
        <w:tc>
          <w:tcPr>
            <w:tcW w:type="dxa" w:w="1296"/>
            <w:shd w:fill="F8FAFC"/>
            <w:tcMar>
              <w:top w:w="90" w:type="dxa"/>
              <w:bottom w:w="90" w:type="dxa"/>
              <w:left w:w="120" w:type="dxa"/>
              <w:right w:w="120" w:type="dxa"/>
            </w:tcMar>
          </w:tcPr>
          <w:p>
            <w:pPr>
              <w:spacing w:before="0" w:after="0" w:line="276" w:lineRule="auto"/>
              <w:jc w:val="left"/>
            </w:pPr>
            <w:r>
              <w:rPr>
                <w:rFonts w:ascii="Calibri" w:hAnsi="Calibri"/>
                <w:color w:val="1E293B"/>
                <w:sz w:val="18"/>
              </w:rPr>
              <w:t>Flawless / Native</w:t>
            </w:r>
          </w:p>
        </w:tc>
        <w:tc>
          <w:tcPr>
            <w:tcW w:type="dxa" w:w="1152"/>
            <w:shd w:fill="F8FAFC"/>
            <w:tcMar>
              <w:top w:w="90" w:type="dxa"/>
              <w:bottom w:w="90" w:type="dxa"/>
              <w:left w:w="120" w:type="dxa"/>
              <w:right w:w="120" w:type="dxa"/>
            </w:tcMar>
          </w:tcPr>
          <w:p>
            <w:pPr>
              <w:spacing w:before="0" w:after="0" w:line="276" w:lineRule="auto"/>
              <w:jc w:val="left"/>
            </w:pPr>
            <w:r>
              <w:rPr>
                <w:rFonts w:ascii="Calibri" w:hAnsi="Calibri"/>
                <w:color w:val="1E293B"/>
                <w:sz w:val="18"/>
              </w:rPr>
              <w:t>Native Built-in</w:t>
            </w:r>
          </w:p>
        </w:tc>
        <w:tc>
          <w:tcPr>
            <w:tcW w:type="dxa" w:w="1008"/>
            <w:shd w:fill="F8FAFC"/>
            <w:tcMar>
              <w:top w:w="90" w:type="dxa"/>
              <w:bottom w:w="90" w:type="dxa"/>
              <w:left w:w="120" w:type="dxa"/>
              <w:right w:w="120" w:type="dxa"/>
            </w:tcMar>
          </w:tcPr>
          <w:p>
            <w:pPr>
              <w:spacing w:before="0" w:after="0" w:line="276" w:lineRule="auto"/>
              <w:jc w:val="left"/>
            </w:pPr>
            <w:r>
              <w:rPr>
                <w:rFonts w:ascii="Calibri" w:hAnsi="Calibri"/>
                <w:color w:val="1E293B"/>
                <w:sz w:val="18"/>
              </w:rPr>
              <w:t>Module Augment</w:t>
            </w:r>
          </w:p>
        </w:tc>
        <w:tc>
          <w:tcPr>
            <w:tcW w:type="dxa" w:w="1728"/>
            <w:shd w:fill="F8FAFC"/>
            <w:tcMar>
              <w:top w:w="90" w:type="dxa"/>
              <w:bottom w:w="90" w:type="dxa"/>
              <w:left w:w="120" w:type="dxa"/>
              <w:right w:w="120" w:type="dxa"/>
            </w:tcMar>
          </w:tcPr>
          <w:p>
            <w:pPr>
              <w:spacing w:before="0" w:after="0" w:line="276" w:lineRule="auto"/>
              <w:jc w:val="left"/>
            </w:pPr>
            <w:r>
              <w:rPr>
                <w:rFonts w:ascii="Calibri" w:hAnsi="Calibri"/>
                <w:color w:val="1E293B"/>
                <w:sz w:val="18"/>
              </w:rPr>
              <w:t>Strongly Recommended (Industry Standard)</w:t>
            </w:r>
          </w:p>
        </w:tc>
      </w:tr>
      <w:tr>
        <w:trPr>
          <w:cantSplit/>
        </w:trPr>
        <w:tc>
          <w:tcPr>
            <w:tcW w:type="dxa" w:w="172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#2 FormatJS (react-intl)</w:t>
            </w:r>
          </w:p>
        </w:tc>
        <w:tc>
          <w:tcPr>
            <w:tcW w:type="dxa" w:w="720"/>
            <w:shd w:fill="FFFFFF"/>
            <w:tcMar>
              <w:top w:w="90" w:type="dxa"/>
              <w:bottom w:w="90" w:type="dxa"/>
              <w:left w:w="120" w:type="dxa"/>
              <w:right w:w="120" w:type="dxa"/>
            </w:tcMar>
          </w:tcPr>
          <w:p>
            <w:pPr>
              <w:spacing w:before="0" w:after="0" w:line="276" w:lineRule="auto"/>
              <w:jc w:val="left"/>
            </w:pPr>
            <w:r>
              <w:rPr>
                <w:rFonts w:ascii="Calibri" w:hAnsi="Calibri"/>
                <w:color w:val="1E293B"/>
                <w:sz w:val="18"/>
              </w:rPr>
              <w:t>88/100</w:t>
            </w:r>
          </w:p>
        </w:tc>
        <w:tc>
          <w:tcPr>
            <w:tcW w:type="dxa" w:w="1152"/>
            <w:shd w:fill="FFFFFF"/>
            <w:tcMar>
              <w:top w:w="90" w:type="dxa"/>
              <w:bottom w:w="90" w:type="dxa"/>
              <w:left w:w="120" w:type="dxa"/>
              <w:right w:w="120" w:type="dxa"/>
            </w:tcMar>
          </w:tcPr>
          <w:p>
            <w:pPr>
              <w:spacing w:before="0" w:after="0" w:line="276" w:lineRule="auto"/>
              <w:jc w:val="left"/>
            </w:pPr>
            <w:r>
              <w:rPr>
                <w:rFonts w:ascii="Calibri" w:hAnsi="Calibri"/>
                <w:color w:val="1E293B"/>
                <w:sz w:val="18"/>
              </w:rPr>
              <w:t>~12.8 KB</w:t>
            </w:r>
          </w:p>
        </w:tc>
        <w:tc>
          <w:tcPr>
            <w:tcW w:type="dxa" w:w="1296"/>
            <w:shd w:fill="FFFFFF"/>
            <w:tcMar>
              <w:top w:w="90" w:type="dxa"/>
              <w:bottom w:w="90" w:type="dxa"/>
              <w:left w:w="120" w:type="dxa"/>
              <w:right w:w="120" w:type="dxa"/>
            </w:tcMar>
          </w:tcPr>
          <w:p>
            <w:pPr>
              <w:spacing w:before="0" w:after="0" w:line="276" w:lineRule="auto"/>
              <w:jc w:val="left"/>
            </w:pPr>
            <w:r>
              <w:rPr>
                <w:rFonts w:ascii="Calibri" w:hAnsi="Calibri"/>
                <w:color w:val="1E293B"/>
                <w:sz w:val="18"/>
              </w:rPr>
              <w:t>Native (ICU)</w:t>
            </w:r>
          </w:p>
        </w:tc>
        <w:tc>
          <w:tcPr>
            <w:tcW w:type="dxa" w:w="1296"/>
            <w:shd w:fill="FFFFFF"/>
            <w:tcMar>
              <w:top w:w="90" w:type="dxa"/>
              <w:bottom w:w="90" w:type="dxa"/>
              <w:left w:w="120" w:type="dxa"/>
              <w:right w:w="120" w:type="dxa"/>
            </w:tcMar>
          </w:tcPr>
          <w:p>
            <w:pPr>
              <w:spacing w:before="0" w:after="0" w:line="276" w:lineRule="auto"/>
              <w:jc w:val="left"/>
            </w:pPr>
            <w:r>
              <w:rPr>
                <w:rFonts w:ascii="Calibri" w:hAnsi="Calibri"/>
                <w:color w:val="1E293B"/>
                <w:sz w:val="18"/>
              </w:rPr>
              <w:t>Excellent</w:t>
            </w:r>
          </w:p>
        </w:tc>
        <w:tc>
          <w:tcPr>
            <w:tcW w:type="dxa" w:w="1152"/>
            <w:shd w:fill="FFFFFF"/>
            <w:tcMar>
              <w:top w:w="90" w:type="dxa"/>
              <w:bottom w:w="90" w:type="dxa"/>
              <w:left w:w="120" w:type="dxa"/>
              <w:right w:w="120" w:type="dxa"/>
            </w:tcMar>
          </w:tcPr>
          <w:p>
            <w:pPr>
              <w:spacing w:before="0" w:after="0" w:line="276" w:lineRule="auto"/>
              <w:jc w:val="left"/>
            </w:pPr>
            <w:r>
              <w:rPr>
                <w:rFonts w:ascii="Calibri" w:hAnsi="Calibri"/>
                <w:color w:val="1E293B"/>
                <w:sz w:val="18"/>
              </w:rPr>
              <w:t>Manual / Static</w:t>
            </w:r>
          </w:p>
        </w:tc>
        <w:tc>
          <w:tcPr>
            <w:tcW w:type="dxa" w:w="1008"/>
            <w:shd w:fill="FFFFFF"/>
            <w:tcMar>
              <w:top w:w="90" w:type="dxa"/>
              <w:bottom w:w="90" w:type="dxa"/>
              <w:left w:w="120" w:type="dxa"/>
              <w:right w:w="120" w:type="dxa"/>
            </w:tcMar>
          </w:tcPr>
          <w:p>
            <w:pPr>
              <w:spacing w:before="0" w:after="0" w:line="276" w:lineRule="auto"/>
              <w:jc w:val="left"/>
            </w:pPr>
            <w:r>
              <w:rPr>
                <w:rFonts w:ascii="Calibri" w:hAnsi="Calibri"/>
                <w:color w:val="1E293B"/>
                <w:sz w:val="18"/>
              </w:rPr>
              <w:t>Generics / CLI</w:t>
            </w:r>
          </w:p>
        </w:tc>
        <w:tc>
          <w:tcPr>
            <w:tcW w:type="dxa" w:w="1728"/>
            <w:shd w:fill="FFFFFF"/>
            <w:tcMar>
              <w:top w:w="90" w:type="dxa"/>
              <w:bottom w:w="90" w:type="dxa"/>
              <w:left w:w="120" w:type="dxa"/>
              <w:right w:w="120" w:type="dxa"/>
            </w:tcMar>
          </w:tcPr>
          <w:p>
            <w:pPr>
              <w:spacing w:before="0" w:after="0" w:line="276" w:lineRule="auto"/>
              <w:jc w:val="left"/>
            </w:pPr>
            <w:r>
              <w:rPr>
                <w:rFonts w:ascii="Calibri" w:hAnsi="Calibri"/>
                <w:color w:val="1E293B"/>
                <w:sz w:val="18"/>
              </w:rPr>
              <w:t>Enterprise ICU Standard (TMS Workflows)</w:t>
            </w:r>
          </w:p>
        </w:tc>
      </w:tr>
      <w:tr>
        <w:trPr>
          <w:cantSplit/>
        </w:trPr>
        <w:tc>
          <w:tcPr>
            <w:tcW w:type="dxa" w:w="172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#3 LinguiJS</w:t>
            </w:r>
          </w:p>
        </w:tc>
        <w:tc>
          <w:tcPr>
            <w:tcW w:type="dxa" w:w="720"/>
            <w:shd w:fill="F8FAFC"/>
            <w:tcMar>
              <w:top w:w="90" w:type="dxa"/>
              <w:bottom w:w="90" w:type="dxa"/>
              <w:left w:w="120" w:type="dxa"/>
              <w:right w:w="120" w:type="dxa"/>
            </w:tcMar>
          </w:tcPr>
          <w:p>
            <w:pPr>
              <w:spacing w:before="0" w:after="0" w:line="276" w:lineRule="auto"/>
              <w:jc w:val="left"/>
            </w:pPr>
            <w:r>
              <w:rPr>
                <w:rFonts w:ascii="Calibri" w:hAnsi="Calibri"/>
                <w:color w:val="1E293B"/>
                <w:sz w:val="18"/>
              </w:rPr>
              <w:t>84/100</w:t>
            </w:r>
          </w:p>
        </w:tc>
        <w:tc>
          <w:tcPr>
            <w:tcW w:type="dxa" w:w="1152"/>
            <w:shd w:fill="F8FAFC"/>
            <w:tcMar>
              <w:top w:w="90" w:type="dxa"/>
              <w:bottom w:w="90" w:type="dxa"/>
              <w:left w:w="120" w:type="dxa"/>
              <w:right w:w="120" w:type="dxa"/>
            </w:tcMar>
          </w:tcPr>
          <w:p>
            <w:pPr>
              <w:spacing w:before="0" w:after="0" w:line="276" w:lineRule="auto"/>
              <w:jc w:val="left"/>
            </w:pPr>
            <w:r>
              <w:rPr>
                <w:rFonts w:ascii="Calibri" w:hAnsi="Calibri"/>
                <w:color w:val="1E293B"/>
                <w:sz w:val="18"/>
              </w:rPr>
              <w:t>~2.1 KB</w:t>
            </w:r>
          </w:p>
        </w:tc>
        <w:tc>
          <w:tcPr>
            <w:tcW w:type="dxa" w:w="1296"/>
            <w:shd w:fill="F8FAFC"/>
            <w:tcMar>
              <w:top w:w="90" w:type="dxa"/>
              <w:bottom w:w="90" w:type="dxa"/>
              <w:left w:w="120" w:type="dxa"/>
              <w:right w:w="120" w:type="dxa"/>
            </w:tcMar>
          </w:tcPr>
          <w:p>
            <w:pPr>
              <w:spacing w:before="0" w:after="0" w:line="276" w:lineRule="auto"/>
              <w:jc w:val="left"/>
            </w:pPr>
            <w:r>
              <w:rPr>
                <w:rFonts w:ascii="Calibri" w:hAnsi="Calibri"/>
                <w:color w:val="1E293B"/>
                <w:sz w:val="18"/>
              </w:rPr>
              <w:t>Native (Macro)</w:t>
            </w:r>
          </w:p>
        </w:tc>
        <w:tc>
          <w:tcPr>
            <w:tcW w:type="dxa" w:w="1296"/>
            <w:shd w:fill="F8FAFC"/>
            <w:tcMar>
              <w:top w:w="90" w:type="dxa"/>
              <w:bottom w:w="90" w:type="dxa"/>
              <w:left w:w="120" w:type="dxa"/>
              <w:right w:w="120" w:type="dxa"/>
            </w:tcMar>
          </w:tcPr>
          <w:p>
            <w:pPr>
              <w:spacing w:before="0" w:after="0" w:line="276" w:lineRule="auto"/>
              <w:jc w:val="left"/>
            </w:pPr>
            <w:r>
              <w:rPr>
                <w:rFonts w:ascii="Calibri" w:hAnsi="Calibri"/>
                <w:color w:val="1E293B"/>
                <w:sz w:val="18"/>
              </w:rPr>
              <w:t>Plugin Required</w:t>
            </w:r>
          </w:p>
        </w:tc>
        <w:tc>
          <w:tcPr>
            <w:tcW w:type="dxa" w:w="1152"/>
            <w:shd w:fill="F8FAFC"/>
            <w:tcMar>
              <w:top w:w="90" w:type="dxa"/>
              <w:bottom w:w="90" w:type="dxa"/>
              <w:left w:w="120" w:type="dxa"/>
              <w:right w:w="120" w:type="dxa"/>
            </w:tcMar>
          </w:tcPr>
          <w:p>
            <w:pPr>
              <w:spacing w:before="0" w:after="0" w:line="276" w:lineRule="auto"/>
              <w:jc w:val="left"/>
            </w:pPr>
            <w:r>
              <w:rPr>
                <w:rFonts w:ascii="Calibri" w:hAnsi="Calibri"/>
                <w:color w:val="1E293B"/>
                <w:sz w:val="18"/>
              </w:rPr>
              <w:t>Catalog-based</w:t>
            </w:r>
          </w:p>
        </w:tc>
        <w:tc>
          <w:tcPr>
            <w:tcW w:type="dxa" w:w="1008"/>
            <w:shd w:fill="F8FAFC"/>
            <w:tcMar>
              <w:top w:w="90" w:type="dxa"/>
              <w:bottom w:w="90" w:type="dxa"/>
              <w:left w:w="120" w:type="dxa"/>
              <w:right w:w="120" w:type="dxa"/>
            </w:tcMar>
          </w:tcPr>
          <w:p>
            <w:pPr>
              <w:spacing w:before="0" w:after="0" w:line="276" w:lineRule="auto"/>
              <w:jc w:val="left"/>
            </w:pPr>
            <w:r>
              <w:rPr>
                <w:rFonts w:ascii="Calibri" w:hAnsi="Calibri"/>
                <w:color w:val="1E293B"/>
                <w:sz w:val="18"/>
              </w:rPr>
              <w:t>CLI Typed</w:t>
            </w:r>
          </w:p>
        </w:tc>
        <w:tc>
          <w:tcPr>
            <w:tcW w:type="dxa" w:w="1728"/>
            <w:shd w:fill="F8FAFC"/>
            <w:tcMar>
              <w:top w:w="90" w:type="dxa"/>
              <w:bottom w:w="90" w:type="dxa"/>
              <w:left w:w="120" w:type="dxa"/>
              <w:right w:w="120" w:type="dxa"/>
            </w:tcMar>
          </w:tcPr>
          <w:p>
            <w:pPr>
              <w:spacing w:before="0" w:after="0" w:line="276" w:lineRule="auto"/>
              <w:jc w:val="left"/>
            </w:pPr>
            <w:r>
              <w:rPr>
                <w:rFonts w:ascii="Calibri" w:hAnsi="Calibri"/>
                <w:color w:val="1E293B"/>
                <w:sz w:val="18"/>
              </w:rPr>
              <w:t>Excellent DX, Needs Vite Macro Plugin</w:t>
            </w:r>
          </w:p>
        </w:tc>
      </w:tr>
      <w:tr>
        <w:trPr>
          <w:cantSplit/>
        </w:trPr>
        <w:tc>
          <w:tcPr>
            <w:tcW w:type="dxa" w:w="172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#4 typesafe-i18n</w:t>
            </w:r>
          </w:p>
        </w:tc>
        <w:tc>
          <w:tcPr>
            <w:tcW w:type="dxa" w:w="720"/>
            <w:shd w:fill="FFFFFF"/>
            <w:tcMar>
              <w:top w:w="90" w:type="dxa"/>
              <w:bottom w:w="90" w:type="dxa"/>
              <w:left w:w="120" w:type="dxa"/>
              <w:right w:w="120" w:type="dxa"/>
            </w:tcMar>
          </w:tcPr>
          <w:p>
            <w:pPr>
              <w:spacing w:before="0" w:after="0" w:line="276" w:lineRule="auto"/>
              <w:jc w:val="left"/>
            </w:pPr>
            <w:r>
              <w:rPr>
                <w:rFonts w:ascii="Calibri" w:hAnsi="Calibri"/>
                <w:color w:val="1E293B"/>
                <w:sz w:val="18"/>
              </w:rPr>
              <w:t>75/100</w:t>
            </w:r>
          </w:p>
        </w:tc>
        <w:tc>
          <w:tcPr>
            <w:tcW w:type="dxa" w:w="1152"/>
            <w:shd w:fill="FFFFFF"/>
            <w:tcMar>
              <w:top w:w="90" w:type="dxa"/>
              <w:bottom w:w="90" w:type="dxa"/>
              <w:left w:w="120" w:type="dxa"/>
              <w:right w:w="120" w:type="dxa"/>
            </w:tcMar>
          </w:tcPr>
          <w:p>
            <w:pPr>
              <w:spacing w:before="0" w:after="0" w:line="276" w:lineRule="auto"/>
              <w:jc w:val="left"/>
            </w:pPr>
            <w:r>
              <w:rPr>
                <w:rFonts w:ascii="Calibri" w:hAnsi="Calibri"/>
                <w:color w:val="1E293B"/>
                <w:sz w:val="18"/>
              </w:rPr>
              <w:t>~1.1 KB</w:t>
            </w:r>
          </w:p>
        </w:tc>
        <w:tc>
          <w:tcPr>
            <w:tcW w:type="dxa" w:w="1296"/>
            <w:shd w:fill="FFFFFF"/>
            <w:tcMar>
              <w:top w:w="90" w:type="dxa"/>
              <w:bottom w:w="90" w:type="dxa"/>
              <w:left w:w="120" w:type="dxa"/>
              <w:right w:w="120" w:type="dxa"/>
            </w:tcMar>
          </w:tcPr>
          <w:p>
            <w:pPr>
              <w:spacing w:before="0" w:after="0" w:line="276" w:lineRule="auto"/>
              <w:jc w:val="left"/>
            </w:pPr>
            <w:r>
              <w:rPr>
                <w:rFonts w:ascii="Calibri" w:hAnsi="Calibri"/>
                <w:color w:val="1E293B"/>
                <w:sz w:val="18"/>
              </w:rPr>
              <w:t>Native (Formatters)</w:t>
            </w:r>
          </w:p>
        </w:tc>
        <w:tc>
          <w:tcPr>
            <w:tcW w:type="dxa" w:w="1296"/>
            <w:shd w:fill="FFFFFF"/>
            <w:tcMar>
              <w:top w:w="90" w:type="dxa"/>
              <w:bottom w:w="90" w:type="dxa"/>
              <w:left w:w="120" w:type="dxa"/>
              <w:right w:w="120" w:type="dxa"/>
            </w:tcMar>
          </w:tcPr>
          <w:p>
            <w:pPr>
              <w:spacing w:before="0" w:after="0" w:line="276" w:lineRule="auto"/>
              <w:jc w:val="left"/>
            </w:pPr>
            <w:r>
              <w:rPr>
                <w:rFonts w:ascii="Calibri" w:hAnsi="Calibri"/>
                <w:color w:val="1E293B"/>
                <w:sz w:val="18"/>
              </w:rPr>
              <w:t>Flawless</w:t>
            </w:r>
          </w:p>
        </w:tc>
        <w:tc>
          <w:tcPr>
            <w:tcW w:type="dxa" w:w="1152"/>
            <w:shd w:fill="FFFFFF"/>
            <w:tcMar>
              <w:top w:w="90" w:type="dxa"/>
              <w:bottom w:w="90" w:type="dxa"/>
              <w:left w:w="120" w:type="dxa"/>
              <w:right w:w="120" w:type="dxa"/>
            </w:tcMar>
          </w:tcPr>
          <w:p>
            <w:pPr>
              <w:spacing w:before="0" w:after="0" w:line="276" w:lineRule="auto"/>
              <w:jc w:val="left"/>
            </w:pPr>
            <w:r>
              <w:rPr>
                <w:rFonts w:ascii="Calibri" w:hAnsi="Calibri"/>
                <w:color w:val="1E293B"/>
                <w:sz w:val="18"/>
              </w:rPr>
              <w:t>Module-based</w:t>
            </w:r>
          </w:p>
        </w:tc>
        <w:tc>
          <w:tcPr>
            <w:tcW w:type="dxa" w:w="1008"/>
            <w:shd w:fill="FFFFFF"/>
            <w:tcMar>
              <w:top w:w="90" w:type="dxa"/>
              <w:bottom w:w="90" w:type="dxa"/>
              <w:left w:w="120" w:type="dxa"/>
              <w:right w:w="120" w:type="dxa"/>
            </w:tcMar>
          </w:tcPr>
          <w:p>
            <w:pPr>
              <w:spacing w:before="0" w:after="0" w:line="276" w:lineRule="auto"/>
              <w:jc w:val="left"/>
            </w:pPr>
            <w:r>
              <w:rPr>
                <w:rFonts w:ascii="Calibri" w:hAnsi="Calibri"/>
                <w:color w:val="1E293B"/>
                <w:sz w:val="18"/>
              </w:rPr>
              <w:t>Unrivaled Codegen</w:t>
            </w:r>
          </w:p>
        </w:tc>
        <w:tc>
          <w:tcPr>
            <w:tcW w:type="dxa" w:w="1728"/>
            <w:shd w:fill="FFFFFF"/>
            <w:tcMar>
              <w:top w:w="90" w:type="dxa"/>
              <w:bottom w:w="90" w:type="dxa"/>
              <w:left w:w="120" w:type="dxa"/>
              <w:right w:w="120" w:type="dxa"/>
            </w:tcMar>
          </w:tcPr>
          <w:p>
            <w:pPr>
              <w:spacing w:before="0" w:after="0" w:line="276" w:lineRule="auto"/>
              <w:jc w:val="left"/>
            </w:pPr>
            <w:r>
              <w:rPr>
                <w:rFonts w:ascii="Calibri" w:hAnsi="Calibri"/>
                <w:color w:val="1E293B"/>
                <w:sz w:val="18"/>
              </w:rPr>
              <w:t>Top Pick for Strict TypeScript Teams</w:t>
            </w:r>
          </w:p>
        </w:tc>
      </w:tr>
      <w:tr>
        <w:trPr>
          <w:cantSplit/>
        </w:trPr>
        <w:tc>
          <w:tcPr>
            <w:tcW w:type="dxa" w:w="172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#5 Custom React Context</w:t>
            </w:r>
          </w:p>
        </w:tc>
        <w:tc>
          <w:tcPr>
            <w:tcW w:type="dxa" w:w="720"/>
            <w:shd w:fill="F8FAFC"/>
            <w:tcMar>
              <w:top w:w="90" w:type="dxa"/>
              <w:bottom w:w="90" w:type="dxa"/>
              <w:left w:w="120" w:type="dxa"/>
              <w:right w:w="120" w:type="dxa"/>
            </w:tcMar>
          </w:tcPr>
          <w:p>
            <w:pPr>
              <w:spacing w:before="0" w:after="0" w:line="276" w:lineRule="auto"/>
              <w:jc w:val="left"/>
            </w:pPr>
            <w:r>
              <w:rPr>
                <w:rFonts w:ascii="Calibri" w:hAnsi="Calibri"/>
                <w:color w:val="1E293B"/>
                <w:sz w:val="18"/>
              </w:rPr>
              <w:t>72/100</w:t>
            </w:r>
          </w:p>
        </w:tc>
        <w:tc>
          <w:tcPr>
            <w:tcW w:type="dxa" w:w="1152"/>
            <w:shd w:fill="F8FAFC"/>
            <w:tcMar>
              <w:top w:w="90" w:type="dxa"/>
              <w:bottom w:w="90" w:type="dxa"/>
              <w:left w:w="120" w:type="dxa"/>
              <w:right w:w="120" w:type="dxa"/>
            </w:tcMar>
          </w:tcPr>
          <w:p>
            <w:pPr>
              <w:spacing w:before="0" w:after="0" w:line="276" w:lineRule="auto"/>
              <w:jc w:val="left"/>
            </w:pPr>
            <w:r>
              <w:rPr>
                <w:rFonts w:ascii="Calibri" w:hAnsi="Calibri"/>
                <w:color w:val="1E293B"/>
                <w:sz w:val="18"/>
              </w:rPr>
              <w:t>~0.5 KB</w:t>
            </w:r>
          </w:p>
        </w:tc>
        <w:tc>
          <w:tcPr>
            <w:tcW w:type="dxa" w:w="1296"/>
            <w:shd w:fill="F8FAFC"/>
            <w:tcMar>
              <w:top w:w="90" w:type="dxa"/>
              <w:bottom w:w="90" w:type="dxa"/>
              <w:left w:w="120" w:type="dxa"/>
              <w:right w:w="120" w:type="dxa"/>
            </w:tcMar>
          </w:tcPr>
          <w:p>
            <w:pPr>
              <w:spacing w:before="0" w:after="0" w:line="276" w:lineRule="auto"/>
              <w:jc w:val="left"/>
            </w:pPr>
            <w:r>
              <w:rPr>
                <w:rFonts w:ascii="Calibri" w:hAnsi="Calibri"/>
                <w:color w:val="1E293B"/>
                <w:sz w:val="18"/>
              </w:rPr>
              <w:t>Native (Intl)</w:t>
            </w:r>
          </w:p>
        </w:tc>
        <w:tc>
          <w:tcPr>
            <w:tcW w:type="dxa" w:w="1296"/>
            <w:shd w:fill="F8FAFC"/>
            <w:tcMar>
              <w:top w:w="90" w:type="dxa"/>
              <w:bottom w:w="90" w:type="dxa"/>
              <w:left w:w="120" w:type="dxa"/>
              <w:right w:w="120" w:type="dxa"/>
            </w:tcMar>
          </w:tcPr>
          <w:p>
            <w:pPr>
              <w:spacing w:before="0" w:after="0" w:line="276" w:lineRule="auto"/>
              <w:jc w:val="left"/>
            </w:pPr>
            <w:r>
              <w:rPr>
                <w:rFonts w:ascii="Calibri" w:hAnsi="Calibri"/>
                <w:color w:val="1E293B"/>
                <w:sz w:val="18"/>
              </w:rPr>
              <w:t>Flawless (0 deps)</w:t>
            </w:r>
          </w:p>
        </w:tc>
        <w:tc>
          <w:tcPr>
            <w:tcW w:type="dxa" w:w="1152"/>
            <w:shd w:fill="F8FAFC"/>
            <w:tcMar>
              <w:top w:w="90" w:type="dxa"/>
              <w:bottom w:w="90" w:type="dxa"/>
              <w:left w:w="120" w:type="dxa"/>
              <w:right w:w="120" w:type="dxa"/>
            </w:tcMar>
          </w:tcPr>
          <w:p>
            <w:pPr>
              <w:spacing w:before="0" w:after="0" w:line="276" w:lineRule="auto"/>
              <w:jc w:val="left"/>
            </w:pPr>
            <w:r>
              <w:rPr>
                <w:rFonts w:ascii="Calibri" w:hAnsi="Calibri"/>
                <w:color w:val="1E293B"/>
                <w:sz w:val="18"/>
              </w:rPr>
              <w:t>Dynamic Imports</w:t>
            </w:r>
          </w:p>
        </w:tc>
        <w:tc>
          <w:tcPr>
            <w:tcW w:type="dxa" w:w="1008"/>
            <w:shd w:fill="F8FAFC"/>
            <w:tcMar>
              <w:top w:w="90" w:type="dxa"/>
              <w:bottom w:w="90" w:type="dxa"/>
              <w:left w:w="120" w:type="dxa"/>
              <w:right w:w="120" w:type="dxa"/>
            </w:tcMar>
          </w:tcPr>
          <w:p>
            <w:pPr>
              <w:spacing w:before="0" w:after="0" w:line="276" w:lineRule="auto"/>
              <w:jc w:val="left"/>
            </w:pPr>
            <w:r>
              <w:rPr>
                <w:rFonts w:ascii="Calibri" w:hAnsi="Calibri"/>
                <w:color w:val="1E293B"/>
                <w:sz w:val="18"/>
              </w:rPr>
              <w:t>Native Interfaces</w:t>
            </w:r>
          </w:p>
        </w:tc>
        <w:tc>
          <w:tcPr>
            <w:tcW w:type="dxa" w:w="1728"/>
            <w:shd w:fill="F8FAFC"/>
            <w:tcMar>
              <w:top w:w="90" w:type="dxa"/>
              <w:bottom w:w="90" w:type="dxa"/>
              <w:left w:w="120" w:type="dxa"/>
              <w:right w:w="120" w:type="dxa"/>
            </w:tcMar>
          </w:tcPr>
          <w:p>
            <w:pPr>
              <w:spacing w:before="0" w:after="0" w:line="276" w:lineRule="auto"/>
              <w:jc w:val="left"/>
            </w:pPr>
            <w:r>
              <w:rPr>
                <w:rFonts w:ascii="Calibri" w:hAnsi="Calibri"/>
                <w:color w:val="1E293B"/>
                <w:sz w:val="18"/>
              </w:rPr>
              <w:t>Zero-Dependency Native Architecture</w:t>
            </w:r>
          </w:p>
        </w:tc>
      </w:tr>
      <w:tr>
        <w:trPr>
          <w:cantSplit/>
        </w:trPr>
        <w:tc>
          <w:tcPr>
            <w:tcW w:type="dxa" w:w="172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#6 Rosetta</w:t>
            </w:r>
          </w:p>
        </w:tc>
        <w:tc>
          <w:tcPr>
            <w:tcW w:type="dxa" w:w="720"/>
            <w:shd w:fill="FFFFFF"/>
            <w:tcMar>
              <w:top w:w="90" w:type="dxa"/>
              <w:bottom w:w="90" w:type="dxa"/>
              <w:left w:w="120" w:type="dxa"/>
              <w:right w:w="120" w:type="dxa"/>
            </w:tcMar>
          </w:tcPr>
          <w:p>
            <w:pPr>
              <w:spacing w:before="0" w:after="0" w:line="276" w:lineRule="auto"/>
              <w:jc w:val="left"/>
            </w:pPr>
            <w:r>
              <w:rPr>
                <w:rFonts w:ascii="Calibri" w:hAnsi="Calibri"/>
                <w:color w:val="1E293B"/>
                <w:sz w:val="18"/>
              </w:rPr>
              <w:t>45/100</w:t>
            </w:r>
          </w:p>
        </w:tc>
        <w:tc>
          <w:tcPr>
            <w:tcW w:type="dxa" w:w="1152"/>
            <w:shd w:fill="FFFFFF"/>
            <w:tcMar>
              <w:top w:w="90" w:type="dxa"/>
              <w:bottom w:w="90" w:type="dxa"/>
              <w:left w:w="120" w:type="dxa"/>
              <w:right w:w="120" w:type="dxa"/>
            </w:tcMar>
          </w:tcPr>
          <w:p>
            <w:pPr>
              <w:spacing w:before="0" w:after="0" w:line="276" w:lineRule="auto"/>
              <w:jc w:val="left"/>
            </w:pPr>
            <w:r>
              <w:rPr>
                <w:rFonts w:ascii="Calibri" w:hAnsi="Calibri"/>
                <w:color w:val="1E293B"/>
                <w:sz w:val="18"/>
              </w:rPr>
              <w:t>~0.34 KB</w:t>
            </w:r>
          </w:p>
        </w:tc>
        <w:tc>
          <w:tcPr>
            <w:tcW w:type="dxa" w:w="1296"/>
            <w:shd w:fill="FFFFFF"/>
            <w:tcMar>
              <w:top w:w="90" w:type="dxa"/>
              <w:bottom w:w="90" w:type="dxa"/>
              <w:left w:w="120" w:type="dxa"/>
              <w:right w:w="120" w:type="dxa"/>
            </w:tcMar>
          </w:tcPr>
          <w:p>
            <w:pPr>
              <w:spacing w:before="0" w:after="0" w:line="276" w:lineRule="auto"/>
              <w:jc w:val="left"/>
            </w:pPr>
            <w:r>
              <w:rPr>
                <w:rFonts w:ascii="Calibri" w:hAnsi="Calibri"/>
                <w:color w:val="1E293B"/>
                <w:sz w:val="18"/>
              </w:rPr>
              <w:t>None (Manual)</w:t>
            </w:r>
          </w:p>
        </w:tc>
        <w:tc>
          <w:tcPr>
            <w:tcW w:type="dxa" w:w="1296"/>
            <w:shd w:fill="FFFFFF"/>
            <w:tcMar>
              <w:top w:w="90" w:type="dxa"/>
              <w:bottom w:w="90" w:type="dxa"/>
              <w:left w:w="120" w:type="dxa"/>
              <w:right w:w="120" w:type="dxa"/>
            </w:tcMar>
          </w:tcPr>
          <w:p>
            <w:pPr>
              <w:spacing w:before="0" w:after="0" w:line="276" w:lineRule="auto"/>
              <w:jc w:val="left"/>
            </w:pPr>
            <w:r>
              <w:rPr>
                <w:rFonts w:ascii="Calibri" w:hAnsi="Calibri"/>
                <w:color w:val="1E293B"/>
                <w:sz w:val="18"/>
              </w:rPr>
              <w:t>Flawless</w:t>
            </w:r>
          </w:p>
        </w:tc>
        <w:tc>
          <w:tcPr>
            <w:tcW w:type="dxa" w:w="1152"/>
            <w:shd w:fill="FFFFFF"/>
            <w:tcMar>
              <w:top w:w="90" w:type="dxa"/>
              <w:bottom w:w="90" w:type="dxa"/>
              <w:left w:w="120" w:type="dxa"/>
              <w:right w:w="120" w:type="dxa"/>
            </w:tcMar>
          </w:tcPr>
          <w:p>
            <w:pPr>
              <w:spacing w:before="0" w:after="0" w:line="276" w:lineRule="auto"/>
              <w:jc w:val="left"/>
            </w:pPr>
            <w:r>
              <w:rPr>
                <w:rFonts w:ascii="Calibri" w:hAnsi="Calibri"/>
                <w:color w:val="1E293B"/>
                <w:sz w:val="18"/>
              </w:rPr>
              <w:t>Flat Dicts Only</w:t>
            </w:r>
          </w:p>
        </w:tc>
        <w:tc>
          <w:tcPr>
            <w:tcW w:type="dxa" w:w="1008"/>
            <w:shd w:fill="FFFFFF"/>
            <w:tcMar>
              <w:top w:w="90" w:type="dxa"/>
              <w:bottom w:w="90" w:type="dxa"/>
              <w:left w:w="120" w:type="dxa"/>
              <w:right w:w="120" w:type="dxa"/>
            </w:tcMar>
          </w:tcPr>
          <w:p>
            <w:pPr>
              <w:spacing w:before="0" w:after="0" w:line="276" w:lineRule="auto"/>
              <w:jc w:val="left"/>
            </w:pPr>
            <w:r>
              <w:rPr>
                <w:rFonts w:ascii="Calibri" w:hAnsi="Calibri"/>
                <w:color w:val="1E293B"/>
                <w:sz w:val="18"/>
              </w:rPr>
              <w:t>None</w:t>
            </w:r>
          </w:p>
        </w:tc>
        <w:tc>
          <w:tcPr>
            <w:tcW w:type="dxa" w:w="1728"/>
            <w:shd w:fill="FFFFFF"/>
            <w:tcMar>
              <w:top w:w="90" w:type="dxa"/>
              <w:bottom w:w="90" w:type="dxa"/>
              <w:left w:w="120" w:type="dxa"/>
              <w:right w:w="120" w:type="dxa"/>
            </w:tcMar>
          </w:tcPr>
          <w:p>
            <w:pPr>
              <w:spacing w:before="0" w:after="0" w:line="276" w:lineRule="auto"/>
              <w:jc w:val="left"/>
            </w:pPr>
            <w:r>
              <w:rPr>
                <w:rFonts w:ascii="Calibri" w:hAnsi="Calibri"/>
                <w:color w:val="1E293B"/>
                <w:sz w:val="18"/>
              </w:rPr>
              <w:t>Lightweight, Lacks Plurals &amp; Formatting</w:t>
            </w:r>
          </w:p>
        </w:tc>
      </w:tr>
      <w:tr>
        <w:trPr>
          <w:cantSplit/>
        </w:trPr>
        <w:tc>
          <w:tcPr>
            <w:tcW w:type="dxa" w:w="172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#7 Polyglot.js (Airbnb)</w:t>
            </w:r>
          </w:p>
        </w:tc>
        <w:tc>
          <w:tcPr>
            <w:tcW w:type="dxa" w:w="720"/>
            <w:shd w:fill="F8FAFC"/>
            <w:tcMar>
              <w:top w:w="90" w:type="dxa"/>
              <w:bottom w:w="90" w:type="dxa"/>
              <w:left w:w="120" w:type="dxa"/>
              <w:right w:w="120" w:type="dxa"/>
            </w:tcMar>
          </w:tcPr>
          <w:p>
            <w:pPr>
              <w:spacing w:before="0" w:after="0" w:line="276" w:lineRule="auto"/>
              <w:jc w:val="left"/>
            </w:pPr>
            <w:r>
              <w:rPr>
                <w:rFonts w:ascii="Calibri" w:hAnsi="Calibri"/>
                <w:color w:val="1E293B"/>
                <w:sz w:val="18"/>
              </w:rPr>
              <w:t>40/100</w:t>
            </w:r>
          </w:p>
        </w:tc>
        <w:tc>
          <w:tcPr>
            <w:tcW w:type="dxa" w:w="1152"/>
            <w:shd w:fill="F8FAFC"/>
            <w:tcMar>
              <w:top w:w="90" w:type="dxa"/>
              <w:bottom w:w="90" w:type="dxa"/>
              <w:left w:w="120" w:type="dxa"/>
              <w:right w:w="120" w:type="dxa"/>
            </w:tcMar>
          </w:tcPr>
          <w:p>
            <w:pPr>
              <w:spacing w:before="0" w:after="0" w:line="276" w:lineRule="auto"/>
              <w:jc w:val="left"/>
            </w:pPr>
            <w:r>
              <w:rPr>
                <w:rFonts w:ascii="Calibri" w:hAnsi="Calibri"/>
                <w:color w:val="1E293B"/>
                <w:sz w:val="18"/>
              </w:rPr>
              <w:t>~2.6 KB</w:t>
            </w:r>
          </w:p>
        </w:tc>
        <w:tc>
          <w:tcPr>
            <w:tcW w:type="dxa" w:w="1296"/>
            <w:shd w:fill="F8FAFC"/>
            <w:tcMar>
              <w:top w:w="90" w:type="dxa"/>
              <w:bottom w:w="90" w:type="dxa"/>
              <w:left w:w="120" w:type="dxa"/>
              <w:right w:w="120" w:type="dxa"/>
            </w:tcMar>
          </w:tcPr>
          <w:p>
            <w:pPr>
              <w:spacing w:before="0" w:after="0" w:line="276" w:lineRule="auto"/>
              <w:jc w:val="left"/>
            </w:pPr>
            <w:r>
              <w:rPr>
                <w:rFonts w:ascii="Calibri" w:hAnsi="Calibri"/>
                <w:color w:val="1E293B"/>
                <w:sz w:val="18"/>
              </w:rPr>
              <w:t>Partial (Hack)</w:t>
            </w:r>
          </w:p>
        </w:tc>
        <w:tc>
          <w:tcPr>
            <w:tcW w:type="dxa" w:w="1296"/>
            <w:shd w:fill="F8FAFC"/>
            <w:tcMar>
              <w:top w:w="90" w:type="dxa"/>
              <w:bottom w:w="90" w:type="dxa"/>
              <w:left w:w="120" w:type="dxa"/>
              <w:right w:w="120" w:type="dxa"/>
            </w:tcMar>
          </w:tcPr>
          <w:p>
            <w:pPr>
              <w:spacing w:before="0" w:after="0" w:line="276" w:lineRule="auto"/>
              <w:jc w:val="left"/>
            </w:pPr>
            <w:r>
              <w:rPr>
                <w:rFonts w:ascii="Calibri" w:hAnsi="Calibri"/>
                <w:color w:val="1E293B"/>
                <w:sz w:val="18"/>
              </w:rPr>
              <w:t>Legacy Bindings</w:t>
            </w:r>
          </w:p>
        </w:tc>
        <w:tc>
          <w:tcPr>
            <w:tcW w:type="dxa" w:w="1152"/>
            <w:shd w:fill="F8FAFC"/>
            <w:tcMar>
              <w:top w:w="90" w:type="dxa"/>
              <w:bottom w:w="90" w:type="dxa"/>
              <w:left w:w="120" w:type="dxa"/>
              <w:right w:w="120" w:type="dxa"/>
            </w:tcMar>
          </w:tcPr>
          <w:p>
            <w:pPr>
              <w:spacing w:before="0" w:after="0" w:line="276" w:lineRule="auto"/>
              <w:jc w:val="left"/>
            </w:pPr>
            <w:r>
              <w:rPr>
                <w:rFonts w:ascii="Calibri" w:hAnsi="Calibri"/>
                <w:color w:val="1E293B"/>
                <w:sz w:val="18"/>
              </w:rPr>
              <w:t>Manual</w:t>
            </w:r>
          </w:p>
        </w:tc>
        <w:tc>
          <w:tcPr>
            <w:tcW w:type="dxa" w:w="1008"/>
            <w:shd w:fill="F8FAFC"/>
            <w:tcMar>
              <w:top w:w="90" w:type="dxa"/>
              <w:bottom w:w="90" w:type="dxa"/>
              <w:left w:w="120" w:type="dxa"/>
              <w:right w:w="120" w:type="dxa"/>
            </w:tcMar>
          </w:tcPr>
          <w:p>
            <w:pPr>
              <w:spacing w:before="0" w:after="0" w:line="276" w:lineRule="auto"/>
              <w:jc w:val="left"/>
            </w:pPr>
            <w:r>
              <w:rPr>
                <w:rFonts w:ascii="Calibri" w:hAnsi="Calibri"/>
                <w:color w:val="1E293B"/>
                <w:sz w:val="18"/>
              </w:rPr>
              <w:t>None</w:t>
            </w:r>
          </w:p>
        </w:tc>
        <w:tc>
          <w:tcPr>
            <w:tcW w:type="dxa" w:w="1728"/>
            <w:shd w:fill="F8FAFC"/>
            <w:tcMar>
              <w:top w:w="90" w:type="dxa"/>
              <w:bottom w:w="90" w:type="dxa"/>
              <w:left w:w="120" w:type="dxa"/>
              <w:right w:w="120" w:type="dxa"/>
            </w:tcMar>
          </w:tcPr>
          <w:p>
            <w:pPr>
              <w:spacing w:before="0" w:after="0" w:line="276" w:lineRule="auto"/>
              <w:jc w:val="left"/>
            </w:pPr>
            <w:r>
              <w:rPr>
                <w:rFonts w:ascii="Calibri" w:hAnsi="Calibri"/>
                <w:color w:val="1E293B"/>
                <w:sz w:val="18"/>
              </w:rPr>
              <w:t>Outdated 2-form Plurals, High Friction</w:t>
            </w:r>
          </w:p>
        </w:tc>
      </w:tr>
      <w:tr>
        <w:trPr>
          <w:cantSplit/>
        </w:trPr>
        <w:tc>
          <w:tcPr>
            <w:tcW w:type="dxa" w:w="172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#8 next-intl</w:t>
            </w:r>
          </w:p>
        </w:tc>
        <w:tc>
          <w:tcPr>
            <w:tcW w:type="dxa" w:w="720"/>
            <w:shd w:fill="FFFFFF"/>
            <w:tcMar>
              <w:top w:w="90" w:type="dxa"/>
              <w:bottom w:w="90" w:type="dxa"/>
              <w:left w:w="120" w:type="dxa"/>
              <w:right w:w="120" w:type="dxa"/>
            </w:tcMar>
          </w:tcPr>
          <w:p>
            <w:pPr>
              <w:spacing w:before="0" w:after="0" w:line="276" w:lineRule="auto"/>
              <w:jc w:val="left"/>
            </w:pPr>
            <w:r>
              <w:rPr>
                <w:rFonts w:ascii="Calibri" w:hAnsi="Calibri"/>
                <w:color w:val="1E293B"/>
                <w:sz w:val="18"/>
              </w:rPr>
              <w:t>30/100</w:t>
            </w:r>
          </w:p>
        </w:tc>
        <w:tc>
          <w:tcPr>
            <w:tcW w:type="dxa" w:w="1152"/>
            <w:shd w:fill="FFFFFF"/>
            <w:tcMar>
              <w:top w:w="90" w:type="dxa"/>
              <w:bottom w:w="90" w:type="dxa"/>
              <w:left w:w="120" w:type="dxa"/>
              <w:right w:w="120" w:type="dxa"/>
            </w:tcMar>
          </w:tcPr>
          <w:p>
            <w:pPr>
              <w:spacing w:before="0" w:after="0" w:line="276" w:lineRule="auto"/>
              <w:jc w:val="left"/>
            </w:pPr>
            <w:r>
              <w:rPr>
                <w:rFonts w:ascii="Calibri" w:hAnsi="Calibri"/>
                <w:color w:val="1E293B"/>
                <w:sz w:val="18"/>
              </w:rPr>
              <w:t>0 KB (RSC)</w:t>
            </w:r>
          </w:p>
        </w:tc>
        <w:tc>
          <w:tcPr>
            <w:tcW w:type="dxa" w:w="1296"/>
            <w:shd w:fill="FFFFFF"/>
            <w:tcMar>
              <w:top w:w="90" w:type="dxa"/>
              <w:bottom w:w="90" w:type="dxa"/>
              <w:left w:w="120" w:type="dxa"/>
              <w:right w:w="120" w:type="dxa"/>
            </w:tcMar>
          </w:tcPr>
          <w:p>
            <w:pPr>
              <w:spacing w:before="0" w:after="0" w:line="276" w:lineRule="auto"/>
              <w:jc w:val="left"/>
            </w:pPr>
            <w:r>
              <w:rPr>
                <w:rFonts w:ascii="Calibri" w:hAnsi="Calibri"/>
                <w:color w:val="1E293B"/>
                <w:sz w:val="18"/>
              </w:rPr>
              <w:t>Native (ICU)</w:t>
            </w:r>
          </w:p>
        </w:tc>
        <w:tc>
          <w:tcPr>
            <w:tcW w:type="dxa" w:w="1296"/>
            <w:shd w:fill="FFFFFF"/>
            <w:tcMar>
              <w:top w:w="90" w:type="dxa"/>
              <w:bottom w:w="90" w:type="dxa"/>
              <w:left w:w="120" w:type="dxa"/>
              <w:right w:w="120" w:type="dxa"/>
            </w:tcMar>
          </w:tcPr>
          <w:p>
            <w:pPr>
              <w:spacing w:before="0" w:after="0" w:line="276" w:lineRule="auto"/>
              <w:jc w:val="left"/>
            </w:pPr>
            <w:r>
              <w:rPr>
                <w:rFonts w:ascii="Calibri" w:hAnsi="Calibri"/>
                <w:color w:val="1E293B"/>
                <w:sz w:val="18"/>
              </w:rPr>
              <w:t>Incompatible (Next)</w:t>
            </w:r>
          </w:p>
        </w:tc>
        <w:tc>
          <w:tcPr>
            <w:tcW w:type="dxa" w:w="1152"/>
            <w:shd w:fill="FFFFFF"/>
            <w:tcMar>
              <w:top w:w="90" w:type="dxa"/>
              <w:bottom w:w="90" w:type="dxa"/>
              <w:left w:w="120" w:type="dxa"/>
              <w:right w:w="120" w:type="dxa"/>
            </w:tcMar>
          </w:tcPr>
          <w:p>
            <w:pPr>
              <w:spacing w:before="0" w:after="0" w:line="276" w:lineRule="auto"/>
              <w:jc w:val="left"/>
            </w:pPr>
            <w:r>
              <w:rPr>
                <w:rFonts w:ascii="Calibri" w:hAnsi="Calibri"/>
                <w:color w:val="1E293B"/>
                <w:sz w:val="18"/>
              </w:rPr>
              <w:t>Route Layouts</w:t>
            </w:r>
          </w:p>
        </w:tc>
        <w:tc>
          <w:tcPr>
            <w:tcW w:type="dxa" w:w="1008"/>
            <w:shd w:fill="FFFFFF"/>
            <w:tcMar>
              <w:top w:w="90" w:type="dxa"/>
              <w:bottom w:w="90" w:type="dxa"/>
              <w:left w:w="120" w:type="dxa"/>
              <w:right w:w="120" w:type="dxa"/>
            </w:tcMar>
          </w:tcPr>
          <w:p>
            <w:pPr>
              <w:spacing w:before="0" w:after="0" w:line="276" w:lineRule="auto"/>
              <w:jc w:val="left"/>
            </w:pPr>
            <w:r>
              <w:rPr>
                <w:rFonts w:ascii="Calibri" w:hAnsi="Calibri"/>
                <w:color w:val="1E293B"/>
                <w:sz w:val="18"/>
              </w:rPr>
              <w:t>Native Typed</w:t>
            </w:r>
          </w:p>
        </w:tc>
        <w:tc>
          <w:tcPr>
            <w:tcW w:type="dxa" w:w="1728"/>
            <w:shd w:fill="FFFFFF"/>
            <w:tcMar>
              <w:top w:w="90" w:type="dxa"/>
              <w:bottom w:w="90" w:type="dxa"/>
              <w:left w:w="120" w:type="dxa"/>
              <w:right w:w="120" w:type="dxa"/>
            </w:tcMar>
          </w:tcPr>
          <w:p>
            <w:pPr>
              <w:spacing w:before="0" w:after="0" w:line="276" w:lineRule="auto"/>
              <w:jc w:val="left"/>
            </w:pPr>
            <w:r>
              <w:rPr>
                <w:rFonts w:ascii="Calibri" w:hAnsi="Calibri"/>
                <w:color w:val="1E293B"/>
                <w:sz w:val="18"/>
              </w:rPr>
              <w:t>Incompatible with Standalone Vite SPAs</w:t>
            </w:r>
          </w:p>
        </w:tc>
      </w:tr>
      <w:tr>
        <w:trPr>
          <w:cantSplit/>
        </w:trPr>
        <w:tc>
          <w:tcPr>
            <w:tcW w:type="dxa" w:w="172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#9 FBT (Meta)</w:t>
            </w:r>
          </w:p>
        </w:tc>
        <w:tc>
          <w:tcPr>
            <w:tcW w:type="dxa" w:w="720"/>
            <w:shd w:fill="F8FAFC"/>
            <w:tcMar>
              <w:top w:w="90" w:type="dxa"/>
              <w:bottom w:w="90" w:type="dxa"/>
              <w:left w:w="120" w:type="dxa"/>
              <w:right w:w="120" w:type="dxa"/>
            </w:tcMar>
          </w:tcPr>
          <w:p>
            <w:pPr>
              <w:spacing w:before="0" w:after="0" w:line="276" w:lineRule="auto"/>
              <w:jc w:val="left"/>
            </w:pPr>
            <w:r>
              <w:rPr>
                <w:rFonts w:ascii="Calibri" w:hAnsi="Calibri"/>
                <w:color w:val="1E293B"/>
                <w:sz w:val="18"/>
              </w:rPr>
              <w:t>25/100</w:t>
            </w:r>
          </w:p>
        </w:tc>
        <w:tc>
          <w:tcPr>
            <w:tcW w:type="dxa" w:w="1152"/>
            <w:shd w:fill="F8FAFC"/>
            <w:tcMar>
              <w:top w:w="90" w:type="dxa"/>
              <w:bottom w:w="90" w:type="dxa"/>
              <w:left w:w="120" w:type="dxa"/>
              <w:right w:w="120" w:type="dxa"/>
            </w:tcMar>
          </w:tcPr>
          <w:p>
            <w:pPr>
              <w:spacing w:before="0" w:after="0" w:line="276" w:lineRule="auto"/>
              <w:jc w:val="left"/>
            </w:pPr>
            <w:r>
              <w:rPr>
                <w:rFonts w:ascii="Calibri" w:hAnsi="Calibri"/>
                <w:color w:val="1E293B"/>
                <w:sz w:val="18"/>
              </w:rPr>
              <w:t>~7.1 KB</w:t>
            </w:r>
          </w:p>
        </w:tc>
        <w:tc>
          <w:tcPr>
            <w:tcW w:type="dxa" w:w="1296"/>
            <w:shd w:fill="F8FAFC"/>
            <w:tcMar>
              <w:top w:w="90" w:type="dxa"/>
              <w:bottom w:w="90" w:type="dxa"/>
              <w:left w:w="120" w:type="dxa"/>
              <w:right w:w="120" w:type="dxa"/>
            </w:tcMar>
          </w:tcPr>
          <w:p>
            <w:pPr>
              <w:spacing w:before="0" w:after="0" w:line="276" w:lineRule="auto"/>
              <w:jc w:val="left"/>
            </w:pPr>
            <w:r>
              <w:rPr>
                <w:rFonts w:ascii="Calibri" w:hAnsi="Calibri"/>
                <w:color w:val="1E293B"/>
                <w:sz w:val="18"/>
              </w:rPr>
              <w:t>Native (FBT)</w:t>
            </w:r>
          </w:p>
        </w:tc>
        <w:tc>
          <w:tcPr>
            <w:tcW w:type="dxa" w:w="1296"/>
            <w:shd w:fill="F8FAFC"/>
            <w:tcMar>
              <w:top w:w="90" w:type="dxa"/>
              <w:bottom w:w="90" w:type="dxa"/>
              <w:left w:w="120" w:type="dxa"/>
              <w:right w:w="120" w:type="dxa"/>
            </w:tcMar>
          </w:tcPr>
          <w:p>
            <w:pPr>
              <w:spacing w:before="0" w:after="0" w:line="276" w:lineRule="auto"/>
              <w:jc w:val="left"/>
            </w:pPr>
            <w:r>
              <w:rPr>
                <w:rFonts w:ascii="Calibri" w:hAnsi="Calibri"/>
                <w:color w:val="1E293B"/>
                <w:sz w:val="18"/>
              </w:rPr>
              <w:t>High Friction</w:t>
            </w:r>
          </w:p>
        </w:tc>
        <w:tc>
          <w:tcPr>
            <w:tcW w:type="dxa" w:w="1152"/>
            <w:shd w:fill="F8FAFC"/>
            <w:tcMar>
              <w:top w:w="90" w:type="dxa"/>
              <w:bottom w:w="90" w:type="dxa"/>
              <w:left w:w="120" w:type="dxa"/>
              <w:right w:w="120" w:type="dxa"/>
            </w:tcMar>
          </w:tcPr>
          <w:p>
            <w:pPr>
              <w:spacing w:before="0" w:after="0" w:line="276" w:lineRule="auto"/>
              <w:jc w:val="left"/>
            </w:pPr>
            <w:r>
              <w:rPr>
                <w:rFonts w:ascii="Calibri" w:hAnsi="Calibri"/>
                <w:color w:val="1E293B"/>
                <w:sz w:val="18"/>
              </w:rPr>
              <w:t>Hashed Tables</w:t>
            </w:r>
          </w:p>
        </w:tc>
        <w:tc>
          <w:tcPr>
            <w:tcW w:type="dxa" w:w="1008"/>
            <w:shd w:fill="F8FAFC"/>
            <w:tcMar>
              <w:top w:w="90" w:type="dxa"/>
              <w:bottom w:w="90" w:type="dxa"/>
              <w:left w:w="120" w:type="dxa"/>
              <w:right w:w="120" w:type="dxa"/>
            </w:tcMar>
          </w:tcPr>
          <w:p>
            <w:pPr>
              <w:spacing w:before="0" w:after="0" w:line="276" w:lineRule="auto"/>
              <w:jc w:val="left"/>
            </w:pPr>
            <w:r>
              <w:rPr>
                <w:rFonts w:ascii="Calibri" w:hAnsi="Calibri"/>
                <w:color w:val="1E293B"/>
                <w:sz w:val="18"/>
              </w:rPr>
              <w:t>Flow / Babel</w:t>
            </w:r>
          </w:p>
        </w:tc>
        <w:tc>
          <w:tcPr>
            <w:tcW w:type="dxa" w:w="1728"/>
            <w:shd w:fill="F8FAFC"/>
            <w:tcMar>
              <w:top w:w="90" w:type="dxa"/>
              <w:bottom w:w="90" w:type="dxa"/>
              <w:left w:w="120" w:type="dxa"/>
              <w:right w:w="120" w:type="dxa"/>
            </w:tcMar>
          </w:tcPr>
          <w:p>
            <w:pPr>
              <w:spacing w:before="0" w:after="0" w:line="276" w:lineRule="auto"/>
              <w:jc w:val="left"/>
            </w:pPr>
            <w:r>
              <w:rPr>
                <w:rFonts w:ascii="Calibri" w:hAnsi="Calibri"/>
                <w:color w:val="1E293B"/>
                <w:sz w:val="18"/>
              </w:rPr>
              <w:t>Over-engineered for Non-Meta Workflows</w:t>
            </w:r>
          </w:p>
        </w:tc>
      </w:tr>
    </w:tbl>
    <w:p>
      <w:pPr>
        <w:spacing w:before="0" w:after="120"/>
      </w:pPr>
    </w:p>
    <w:p>
      <w:pPr>
        <w:keepNext/>
        <w:spacing w:before="280" w:after="80"/>
      </w:pPr>
      <w:r>
        <w:rPr>
          <w:rFonts w:ascii="Calibri" w:hAnsi="Calibri"/>
          <w:b/>
          <w:color w:val="0D8259"/>
          <w:sz w:val="26"/>
        </w:rPr>
        <w:t>1.2 Executive Ranking Summary &amp; Architectural Verdict</w:t>
      </w:r>
    </w:p>
    <w:p>
      <w:pPr>
        <w:spacing w:before="0" w:after="120" w:line="276" w:lineRule="auto"/>
      </w:pPr>
      <w:r>
        <w:rPr>
          <w:rFonts w:ascii="Calibri" w:hAnsi="Calibri"/>
          <w:color w:val="1E293B"/>
          <w:sz w:val="20"/>
        </w:rPr>
        <w:t>Based on our deep evaluation, the 9 internationalization architectures are ordered sequentially below from most recommended to least recommended:</w:t>
      </w:r>
    </w:p>
    <w:p>
      <w:pPr>
        <w:pStyle w:val="ListBullet"/>
        <w:spacing w:before="0" w:after="60" w:line="276" w:lineRule="auto"/>
      </w:pPr>
      <w:r>
        <w:rPr>
          <w:rFonts w:ascii="Calibri" w:hAnsi="Calibri"/>
          <w:b/>
          <w:color w:val="1E293B"/>
          <w:sz w:val="20"/>
        </w:rPr>
        <w:t xml:space="preserve">🥇 Rank #1: react-i18next + i18next — </w:t>
      </w:r>
      <w:r>
        <w:rPr>
          <w:rFonts w:ascii="Calibri" w:hAnsi="Calibri"/>
          <w:color w:val="1E293B"/>
          <w:sz w:val="20"/>
        </w:rPr>
        <w:t xml:space="preserve"> Score: 98/100. The undisputed industry standard for React SPAs. Offers out-of-the-box support for Arabic 6-tier CLDR plurals, asynchronous namespace code-splitting (essential for splitting Inventory vs. Finance JSONs), zero custom Babel transforms, and flawless React 19 concurrent mode support.</w:t>
      </w:r>
    </w:p>
    <w:p>
      <w:pPr>
        <w:pStyle w:val="ListBullet"/>
        <w:spacing w:before="0" w:after="60" w:line="276" w:lineRule="auto"/>
      </w:pPr>
      <w:r>
        <w:rPr>
          <w:rFonts w:ascii="Calibri" w:hAnsi="Calibri"/>
          <w:b/>
          <w:color w:val="1E293B"/>
          <w:sz w:val="20"/>
        </w:rPr>
        <w:t xml:space="preserve">🥈 Rank #2: FormatJS / react-intl — </w:t>
      </w:r>
      <w:r>
        <w:rPr>
          <w:rFonts w:ascii="Calibri" w:hAnsi="Calibri"/>
          <w:color w:val="1E293B"/>
          <w:sz w:val="20"/>
        </w:rPr>
        <w:t xml:space="preserve"> Score: 88/100. The gold standard for strict ICU MessageFormat compliance. Backed by FormatJS and ECMAScript Intl standards. Excellent for large enterprises requiring strict external translation management system (TMS) pipelines, though slightly heavier and syntactically rigid for rapid UI iteration.</w:t>
      </w:r>
    </w:p>
    <w:p>
      <w:pPr>
        <w:pStyle w:val="ListBullet"/>
        <w:spacing w:before="0" w:after="60" w:line="276" w:lineRule="auto"/>
      </w:pPr>
      <w:r>
        <w:rPr>
          <w:rFonts w:ascii="Calibri" w:hAnsi="Calibri"/>
          <w:b/>
          <w:color w:val="1E293B"/>
          <w:sz w:val="20"/>
        </w:rPr>
        <w:t xml:space="preserve">🥉 Rank #3: LinguiJS — </w:t>
      </w:r>
      <w:r>
        <w:rPr>
          <w:rFonts w:ascii="Calibri" w:hAnsi="Calibri"/>
          <w:color w:val="1E293B"/>
          <w:sz w:val="20"/>
        </w:rPr>
        <w:t xml:space="preserve"> Score: 84/100. High developer ergonomics with inline JSX macros (&lt;Trans&gt;, &lt;Plural&gt;) and compile-time optimization (~2.1 KB runtime). Slightly docked due to requiring a dedicated Vite Babel macro plugin.</w:t>
      </w:r>
    </w:p>
    <w:p>
      <w:pPr>
        <w:pStyle w:val="ListBullet"/>
        <w:spacing w:before="0" w:after="60" w:line="276" w:lineRule="auto"/>
      </w:pPr>
      <w:r>
        <w:rPr>
          <w:rFonts w:ascii="Calibri" w:hAnsi="Calibri"/>
          <w:b/>
          <w:color w:val="1E293B"/>
          <w:sz w:val="20"/>
        </w:rPr>
        <w:t xml:space="preserve">Rank #4: typesafe-i18n — </w:t>
      </w:r>
      <w:r>
        <w:rPr>
          <w:rFonts w:ascii="Calibri" w:hAnsi="Calibri"/>
          <w:color w:val="1E293B"/>
          <w:sz w:val="20"/>
        </w:rPr>
        <w:t xml:space="preserve"> Score: 75/100. Unrivaled type safety with compile-time code generation for translation arguments. Extremely small footprint (~1.1 KB), but requires a TypeScript codebase and an active watcher daemon during development.</w:t>
      </w:r>
    </w:p>
    <w:p>
      <w:pPr>
        <w:pStyle w:val="ListBullet"/>
        <w:spacing w:before="0" w:after="60" w:line="276" w:lineRule="auto"/>
      </w:pPr>
      <w:r>
        <w:rPr>
          <w:rFonts w:ascii="Calibri" w:hAnsi="Calibri"/>
          <w:b/>
          <w:color w:val="1E293B"/>
          <w:sz w:val="20"/>
        </w:rPr>
        <w:t xml:space="preserve">Rank #5: Custom React Context (LanguageContext) — </w:t>
      </w:r>
      <w:r>
        <w:rPr>
          <w:rFonts w:ascii="Calibri" w:hAnsi="Calibri"/>
          <w:color w:val="1E293B"/>
          <w:sz w:val="20"/>
        </w:rPr>
        <w:t xml:space="preserve"> Score: 72/100. Zero external dependencies (~0.5 KB). Directly utilizes modern browser C++ APIs (Intl.PluralRules, Intl.NumberFormat) to achieve 100% compliant Arabic pluralization and JOD currency formatting with zero supply-chain risk.</w:t>
      </w:r>
    </w:p>
    <w:p>
      <w:pPr>
        <w:pStyle w:val="ListBullet"/>
        <w:spacing w:before="0" w:after="60" w:line="276" w:lineRule="auto"/>
      </w:pPr>
      <w:r>
        <w:rPr>
          <w:rFonts w:ascii="Calibri" w:hAnsi="Calibri"/>
          <w:b/>
          <w:color w:val="1E293B"/>
          <w:sz w:val="20"/>
        </w:rPr>
        <w:t xml:space="preserve">Rank #6: Rosetta — </w:t>
      </w:r>
      <w:r>
        <w:rPr>
          <w:rFonts w:ascii="Calibri" w:hAnsi="Calibri"/>
          <w:color w:val="1E293B"/>
          <w:sz w:val="20"/>
        </w:rPr>
        <w:t xml:space="preserve"> Score: 45/100. Ultra-minimal micro-library (~340 bytes). Extremely fast, but completely lacks built-in pluralization, date/number formatting, and React hooks.</w:t>
      </w:r>
    </w:p>
    <w:p>
      <w:pPr>
        <w:pStyle w:val="ListBullet"/>
        <w:spacing w:before="0" w:after="60" w:line="276" w:lineRule="auto"/>
      </w:pPr>
      <w:r>
        <w:rPr>
          <w:rFonts w:ascii="Calibri" w:hAnsi="Calibri"/>
          <w:b/>
          <w:color w:val="1E293B"/>
          <w:sz w:val="20"/>
        </w:rPr>
        <w:t xml:space="preserve">Rank #7: Polyglot.js — </w:t>
      </w:r>
      <w:r>
        <w:rPr>
          <w:rFonts w:ascii="Calibri" w:hAnsi="Calibri"/>
          <w:color w:val="1E293B"/>
          <w:sz w:val="20"/>
        </w:rPr>
        <w:t xml:space="preserve"> Score: 40/100. Airbnb's classic interpolation helper. Hardcoded for 2-tier English plurals (singular |||| plural); requires complex monkey-patching for Arabic's 6 CLDR forms.</w:t>
      </w:r>
    </w:p>
    <w:p>
      <w:pPr>
        <w:pStyle w:val="ListBullet"/>
        <w:spacing w:before="0" w:after="60" w:line="276" w:lineRule="auto"/>
      </w:pPr>
      <w:r>
        <w:rPr>
          <w:rFonts w:ascii="Calibri" w:hAnsi="Calibri"/>
          <w:b/>
          <w:color w:val="1E293B"/>
          <w:sz w:val="20"/>
        </w:rPr>
        <w:t xml:space="preserve">Rank #8: next-intl — </w:t>
      </w:r>
      <w:r>
        <w:rPr>
          <w:rFonts w:ascii="Calibri" w:hAnsi="Calibri"/>
          <w:color w:val="1E293B"/>
          <w:sz w:val="20"/>
        </w:rPr>
        <w:t xml:space="preserve"> Score: 30/100. Outstanding for Next.js App Router applications leveraging Server Components, but fundamentally incompatible with QuickBox's standalone Vite SPA architecture.</w:t>
      </w:r>
    </w:p>
    <w:p>
      <w:pPr>
        <w:pStyle w:val="ListBullet"/>
        <w:spacing w:before="0" w:after="60" w:line="276" w:lineRule="auto"/>
      </w:pPr>
      <w:r>
        <w:rPr>
          <w:rFonts w:ascii="Calibri" w:hAnsi="Calibri"/>
          <w:b/>
          <w:color w:val="1E293B"/>
          <w:sz w:val="20"/>
        </w:rPr>
        <w:t xml:space="preserve">Rank #9: FBT (Meta) — </w:t>
      </w:r>
      <w:r>
        <w:rPr>
          <w:rFonts w:ascii="Calibri" w:hAnsi="Calibri"/>
          <w:color w:val="1E293B"/>
          <w:sz w:val="20"/>
        </w:rPr>
        <w:t xml:space="preserve"> Score: 25/100. Meta's internal translation framework. Optimized for Facebook-scale social graphs with heavy gender/pronoun conjugation, but suffers from extreme Babel setup complexity and near-zero Vite community support.</w:t>
      </w:r>
    </w:p>
    <w:p>
      <w:pPr>
        <w:keepNext/>
        <w:spacing w:before="360" w:after="120"/>
      </w:pPr>
      <w:r>
        <w:rPr>
          <w:rFonts w:ascii="Calibri" w:hAnsi="Calibri"/>
          <w:b/>
          <w:color w:val="1B365D"/>
          <w:sz w:val="32"/>
        </w:rPr>
        <w:t>Section 2: Deep Technical Breakdown for All 9 Methods</w:t>
      </w:r>
    </w:p>
    <w:p>
      <w:pPr>
        <w:spacing w:before="0" w:after="120" w:line="276" w:lineRule="auto"/>
      </w:pPr>
      <w:r>
        <w:rPr>
          <w:rFonts w:ascii="Calibri" w:hAnsi="Calibri"/>
          <w:color w:val="1E293B"/>
          <w:sz w:val="20"/>
        </w:rPr>
        <w:t>This section provides an exhaustive technical breakdown for each of the 9 evaluated translation architectures, documenting its underlying execution model, installation prerequisites, implementation blueprint, pros, cons, bundle footprint, and Arabic RTL handling capability.</w:t>
      </w:r>
    </w:p>
    <w:p>
      <w:pPr>
        <w:keepNext/>
        <w:spacing w:before="280" w:after="80"/>
      </w:pPr>
      <w:r>
        <w:rPr>
          <w:rFonts w:ascii="Calibri" w:hAnsi="Calibri"/>
          <w:b/>
          <w:color w:val="0D8259"/>
          <w:sz w:val="26"/>
        </w:rPr>
        <w:t>2.1 Method 1: react-i18next Ecosystem (Rank #1 - Most Recommended)</w:t>
      </w:r>
    </w:p>
    <w:p>
      <w:pPr>
        <w:spacing w:before="0" w:after="120" w:line="276" w:lineRule="auto"/>
      </w:pPr>
      <w:r>
        <w:rPr>
          <w:rFonts w:ascii="Calibri" w:hAnsi="Calibri"/>
          <w:b/>
          <w:color w:val="1E293B"/>
          <w:sz w:val="20"/>
        </w:rPr>
        <w:t xml:space="preserve">Ecosystem: </w:t>
      </w:r>
      <w:r>
        <w:rPr>
          <w:rFonts w:ascii="Calibri" w:hAnsi="Calibri"/>
          <w:color w:val="1E293B"/>
          <w:sz w:val="20"/>
        </w:rPr>
        <w:t>Core Packages: i18next, react-i18next, i18next-browser-languagedetector, i18next-http-backend</w:t>
      </w:r>
    </w:p>
    <w:p>
      <w:pPr>
        <w:keepNext/>
        <w:spacing w:before="200" w:after="60"/>
      </w:pPr>
      <w:r>
        <w:rPr>
          <w:rFonts w:ascii="Calibri" w:hAnsi="Calibri"/>
          <w:b/>
          <w:color w:val="1B365D"/>
          <w:sz w:val="22"/>
        </w:rPr>
        <w:t>A. Architecture &amp; Working Mechanism</w:t>
      </w:r>
    </w:p>
    <w:p>
      <w:pPr>
        <w:spacing w:before="0" w:after="120" w:line="276" w:lineRule="auto"/>
      </w:pPr>
      <w:r>
        <w:rPr>
          <w:rFonts w:ascii="Calibri" w:hAnsi="Calibri"/>
          <w:color w:val="1E293B"/>
          <w:sz w:val="20"/>
        </w:rPr>
        <w:t>i18next operates on a decoupled pub/sub store model. In React, react-i18next binds this store to React's component lifecycle through the useTranslation hook. When i18n.changeLanguage('ar') is triggered, an event listener broadcasts the update, prompting subscribing components to re-render with the new locale. Translation bundles are organized in modular namespaces (e.g., 'common', 'finance', 'inventory') that can be loaded statically or streamed on demand.</w:t>
      </w:r>
    </w:p>
    <w:p>
      <w:pPr>
        <w:keepNext/>
        <w:spacing w:before="200" w:after="60"/>
      </w:pPr>
      <w:r>
        <w:rPr>
          <w:rFonts w:ascii="Calibri" w:hAnsi="Calibri"/>
          <w:b/>
          <w:color w:val="1B365D"/>
          <w:sz w:val="22"/>
        </w:rPr>
        <w:t>B. Installation &amp; Technical Prerequisites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Installation</w:t>
              <w:br/>
            </w:r>
            <w:r>
              <w:rPr>
                <w:rFonts w:ascii="Consolas" w:hAnsi="Consolas"/>
                <w:color w:val="1E293B"/>
                <w:sz w:val="17"/>
              </w:rPr>
              <w:t>npm install i18next react-i18next i18next-browser-languagedetector i18next-http-backend</w:t>
              <w:br/>
              <w:t># Prerequisites: React 18+ / React 19, Vite 5+ / 8+, ES2022+ module support</w:t>
            </w:r>
          </w:p>
        </w:tc>
      </w:tr>
    </w:tbl>
    <w:p>
      <w:pPr>
        <w:spacing w:before="0" w:after="80"/>
      </w:pPr>
    </w:p>
    <w:p>
      <w:pPr>
        <w:keepNext/>
        <w:spacing w:before="200" w:after="60"/>
      </w:pPr>
      <w:r>
        <w:rPr>
          <w:rFonts w:ascii="Calibri" w:hAnsi="Calibri"/>
          <w:b/>
          <w:color w:val="1B365D"/>
          <w:sz w:val="22"/>
        </w:rPr>
        <w:t>C. Implementation Blueprint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src/i18n.js</w:t>
              <w:br/>
            </w:r>
            <w:r>
              <w:rPr>
                <w:rFonts w:ascii="Consolas" w:hAnsi="Consolas"/>
                <w:color w:val="1E293B"/>
                <w:sz w:val="17"/>
              </w:rPr>
              <w:t>// src/i18n.js</w:t>
              <w:br/>
              <w:t>import i18n from 'i18next';</w:t>
              <w:br/>
              <w:t>import { initReactI18next } from 'react-i18next';</w:t>
              <w:br/>
              <w:t>import LanguageDetector from 'i18next-browser-languagedetector';</w:t>
              <w:br/>
              <w:br/>
              <w:t>import enCommon from './locales/en/common.json';</w:t>
              <w:br/>
              <w:t>import arCommon from './locales/ar/common.json';</w:t>
              <w:br/>
              <w:t>import enFinance from './locales/en/finance.json';</w:t>
              <w:br/>
              <w:t>import arFinance from './locales/ar/finance.json';</w:t>
              <w:br/>
              <w:br/>
              <w:t>i18n</w:t>
              <w:br/>
              <w:t xml:space="preserve">  .use(LanguageDetector)</w:t>
              <w:br/>
              <w:t xml:space="preserve">  .use(initReactI18next)</w:t>
              <w:br/>
              <w:t xml:space="preserve">  .init({</w:t>
              <w:br/>
              <w:t xml:space="preserve">    resources: {</w:t>
              <w:br/>
              <w:t xml:space="preserve">      en: { common: enCommon, finance: enFinance },</w:t>
              <w:br/>
              <w:t xml:space="preserve">      ar: { common: arCommon, finance: arFinance }</w:t>
              <w:br/>
              <w:t xml:space="preserve">    },</w:t>
              <w:br/>
              <w:t xml:space="preserve">    fallbackLng: 'en',</w:t>
              <w:br/>
              <w:t xml:space="preserve">    ns: ['common', 'finance'],</w:t>
              <w:br/>
              <w:t xml:space="preserve">    defaultNS: 'common',</w:t>
              <w:br/>
              <w:t xml:space="preserve">    interpolation: { escapeValue: false },</w:t>
              <w:br/>
              <w:t xml:space="preserve">    detection: {</w:t>
              <w:br/>
              <w:t xml:space="preserve">      order: ['localStorage', 'navigator'],</w:t>
              <w:br/>
              <w:t xml:space="preserve">      lookupLocalStorage: 'quickbox_lang',</w:t>
              <w:br/>
              <w:t xml:space="preserve">      caches: ['localStorage']</w:t>
              <w:br/>
              <w:t xml:space="preserve">    }</w:t>
              <w:br/>
              <w:t xml:space="preserve">  });</w:t>
              <w:br/>
              <w:br/>
              <w:t>// Direct DOM dir synchronization</w:t>
              <w:br/>
              <w:t>i18n.on('languageChanged', (lng) =&gt; {</w:t>
              <w:br/>
              <w:t xml:space="preserve">  const dir = lng === 'ar' ? 'rtl' : 'ltr';</w:t>
              <w:br/>
              <w:t xml:space="preserve">  document.documentElement.dir = dir;</w:t>
              <w:br/>
              <w:t xml:space="preserve">  document.documentElement.lang = lng;</w:t>
              <w:br/>
              <w:t>});</w:t>
              <w:br/>
              <w:br/>
              <w:t>export default i18n;</w:t>
            </w:r>
          </w:p>
        </w:tc>
      </w:tr>
    </w:tbl>
    <w:p>
      <w:pPr>
        <w:spacing w:before="0" w:after="80"/>
      </w:pPr>
    </w:p>
    <w:p>
      <w:pPr>
        <w:keepNext/>
        <w:spacing w:before="200" w:after="60"/>
      </w:pPr>
      <w:r>
        <w:rPr>
          <w:rFonts w:ascii="Calibri" w:hAnsi="Calibri"/>
          <w:b/>
          <w:color w:val="1B365D"/>
          <w:sz w:val="22"/>
        </w:rPr>
        <w:t>D. Pros &amp; Strengths</w:t>
      </w:r>
    </w:p>
    <w:p>
      <w:pPr>
        <w:pStyle w:val="ListBullet"/>
        <w:spacing w:before="0" w:after="60" w:line="276" w:lineRule="auto"/>
      </w:pPr>
      <w:r>
        <w:rPr>
          <w:rFonts w:ascii="Calibri" w:hAnsi="Calibri"/>
          <w:b/>
          <w:color w:val="1E293B"/>
          <w:sz w:val="20"/>
        </w:rPr>
        <w:t xml:space="preserve">Industry Standard: </w:t>
      </w:r>
      <w:r>
        <w:rPr>
          <w:rFonts w:ascii="Calibri" w:hAnsi="Calibri"/>
          <w:color w:val="1E293B"/>
          <w:sz w:val="20"/>
        </w:rPr>
        <w:t xml:space="preserve"> The most widely used React localization library with continuous maintenance and zero breaking changes across React 19 upgrades.</w:t>
      </w:r>
    </w:p>
    <w:p>
      <w:pPr>
        <w:pStyle w:val="ListBullet"/>
        <w:spacing w:before="0" w:after="60" w:line="276" w:lineRule="auto"/>
      </w:pPr>
      <w:r>
        <w:rPr>
          <w:rFonts w:ascii="Calibri" w:hAnsi="Calibri"/>
          <w:b/>
          <w:color w:val="1E293B"/>
          <w:sz w:val="20"/>
        </w:rPr>
        <w:t xml:space="preserve">Native 6-form Pluralization: </w:t>
      </w:r>
      <w:r>
        <w:rPr>
          <w:rFonts w:ascii="Calibri" w:hAnsi="Calibri"/>
          <w:color w:val="1E293B"/>
          <w:sz w:val="20"/>
        </w:rPr>
        <w:t xml:space="preserve"> In v21+, i18next natively supports Arabic's 6 CLDR plural forms (_zero, _one, _two, _few, _many, _other) without requiring plugins.</w:t>
      </w:r>
    </w:p>
    <w:p>
      <w:pPr>
        <w:pStyle w:val="ListBullet"/>
        <w:spacing w:before="0" w:after="60" w:line="276" w:lineRule="auto"/>
      </w:pPr>
      <w:r>
        <w:rPr>
          <w:rFonts w:ascii="Calibri" w:hAnsi="Calibri"/>
          <w:b/>
          <w:color w:val="1E293B"/>
          <w:sz w:val="20"/>
        </w:rPr>
        <w:t xml:space="preserve">Namespace Code-Splitting: </w:t>
      </w:r>
      <w:r>
        <w:rPr>
          <w:rFonts w:ascii="Calibri" w:hAnsi="Calibri"/>
          <w:color w:val="1E293B"/>
          <w:sz w:val="20"/>
        </w:rPr>
        <w:t xml:space="preserve"> Prevents loading monolithic files by breaking translations into logical domain chunks.</w:t>
      </w:r>
    </w:p>
    <w:p>
      <w:pPr>
        <w:pStyle w:val="ListBullet"/>
        <w:spacing w:before="0" w:after="60" w:line="276" w:lineRule="auto"/>
      </w:pPr>
      <w:r>
        <w:rPr>
          <w:rFonts w:ascii="Calibri" w:hAnsi="Calibri"/>
          <w:b/>
          <w:color w:val="1E293B"/>
          <w:sz w:val="20"/>
        </w:rPr>
        <w:t xml:space="preserve">Zero Build Complexity: </w:t>
      </w:r>
      <w:r>
        <w:rPr>
          <w:rFonts w:ascii="Calibri" w:hAnsi="Calibri"/>
          <w:color w:val="1E293B"/>
          <w:sz w:val="20"/>
        </w:rPr>
        <w:t xml:space="preserve"> Works directly in Vite without custom AST plugins, Babel configurations, or complex compiler flags.</w:t>
      </w:r>
    </w:p>
    <w:p>
      <w:pPr>
        <w:keepNext/>
        <w:spacing w:before="200" w:after="60"/>
      </w:pPr>
      <w:r>
        <w:rPr>
          <w:rFonts w:ascii="Calibri" w:hAnsi="Calibri"/>
          <w:b/>
          <w:color w:val="1B365D"/>
          <w:sz w:val="22"/>
        </w:rPr>
        <w:t>E. Cons &amp; Limitations</w:t>
      </w:r>
    </w:p>
    <w:p>
      <w:pPr>
        <w:pStyle w:val="ListBullet"/>
        <w:spacing w:before="0" w:after="60" w:line="276" w:lineRule="auto"/>
      </w:pPr>
      <w:r>
        <w:rPr>
          <w:rFonts w:ascii="Calibri" w:hAnsi="Calibri"/>
          <w:b/>
          <w:color w:val="1E293B"/>
          <w:sz w:val="20"/>
        </w:rPr>
        <w:t xml:space="preserve">Bundle Size: </w:t>
      </w:r>
      <w:r>
        <w:rPr>
          <w:rFonts w:ascii="Calibri" w:hAnsi="Calibri"/>
          <w:color w:val="1E293B"/>
          <w:sz w:val="20"/>
        </w:rPr>
        <w:t xml:space="preserve"> The complete suite (core + react + detector) weighs ~11.8 KB gzipped, slightly larger than micro-libraries.</w:t>
      </w:r>
    </w:p>
    <w:p>
      <w:pPr>
        <w:pStyle w:val="ListBullet"/>
        <w:spacing w:before="0" w:after="60" w:line="276" w:lineRule="auto"/>
      </w:pPr>
      <w:r>
        <w:rPr>
          <w:rFonts w:ascii="Calibri" w:hAnsi="Calibri"/>
          <w:b/>
          <w:color w:val="1E293B"/>
          <w:sz w:val="20"/>
        </w:rPr>
        <w:t xml:space="preserve">TypeScript Types: </w:t>
      </w:r>
      <w:r>
        <w:rPr>
          <w:rFonts w:ascii="Calibri" w:hAnsi="Calibri"/>
          <w:color w:val="1E293B"/>
          <w:sz w:val="20"/>
        </w:rPr>
        <w:t xml:space="preserve"> For strict key auto-completion, requires manual TypeScript interface augmentation.</w:t>
      </w:r>
    </w:p>
    <w:p>
      <w:pPr>
        <w:keepNext/>
        <w:spacing w:before="200" w:after="60"/>
      </w:pPr>
      <w:r>
        <w:rPr>
          <w:rFonts w:ascii="Calibri" w:hAnsi="Calibri"/>
          <w:b/>
          <w:color w:val="1B365D"/>
          <w:sz w:val="22"/>
        </w:rPr>
        <w:t>F. Bundle Impact &amp; Runtime Performance</w:t>
      </w:r>
    </w:p>
    <w:p>
      <w:pPr>
        <w:spacing w:before="0" w:after="120" w:line="276" w:lineRule="auto"/>
      </w:pPr>
      <w:r>
        <w:rPr>
          <w:rFonts w:ascii="Calibri" w:hAnsi="Calibri"/>
          <w:color w:val="1E293B"/>
          <w:sz w:val="20"/>
        </w:rPr>
        <w:t>Minified + Gzipped Footprint: ~11.8 KB total (i18next: ~5.3 KB, react-i18next: ~4.1 KB, detector: ~2.4 KB). Runtime performance is exceptional, executing simple object lookups in sub-millisecond time. Component re-renders are isolated to consumers of useTranslation().</w:t>
      </w:r>
    </w:p>
    <w:p>
      <w:pPr>
        <w:keepNext/>
        <w:spacing w:before="200" w:after="60"/>
      </w:pPr>
      <w:r>
        <w:rPr>
          <w:rFonts w:ascii="Calibri" w:hAnsi="Calibri"/>
          <w:b/>
          <w:color w:val="1B365D"/>
          <w:sz w:val="22"/>
        </w:rPr>
        <w:t>G. Arabic RTL Handling Capability</w:t>
      </w:r>
    </w:p>
    <w:p>
      <w:pPr>
        <w:spacing w:before="0" w:after="120" w:line="276" w:lineRule="auto"/>
      </w:pPr>
      <w:r>
        <w:rPr>
          <w:rFonts w:ascii="Calibri" w:hAnsi="Calibri"/>
          <w:color w:val="1E293B"/>
          <w:sz w:val="20"/>
        </w:rPr>
        <w:t>Score: 10/10. i18next provides i18n.dir() to inspect directionality and emits the languageChanged event, enabling 1-line synchronization with document.documentElement.dir and document.documentElement.lang.</w:t>
      </w:r>
    </w:p>
    <w:p>
      <w:pPr>
        <w:keepNext/>
        <w:spacing w:before="280" w:after="80"/>
      </w:pPr>
      <w:r>
        <w:rPr>
          <w:rFonts w:ascii="Calibri" w:hAnsi="Calibri"/>
          <w:b/>
          <w:color w:val="0D8259"/>
          <w:sz w:val="26"/>
        </w:rPr>
        <w:t>2.2 Method 2: FormatJS / react-intl (Rank #2)</w:t>
      </w:r>
    </w:p>
    <w:p>
      <w:pPr>
        <w:spacing w:before="0" w:after="120" w:line="276" w:lineRule="auto"/>
      </w:pPr>
      <w:r>
        <w:rPr>
          <w:rFonts w:ascii="Calibri" w:hAnsi="Calibri"/>
          <w:b/>
          <w:color w:val="1E293B"/>
          <w:sz w:val="20"/>
        </w:rPr>
        <w:t xml:space="preserve">Ecosystem: </w:t>
      </w:r>
      <w:r>
        <w:rPr>
          <w:rFonts w:ascii="Calibri" w:hAnsi="Calibri"/>
          <w:color w:val="1E293B"/>
          <w:sz w:val="20"/>
        </w:rPr>
        <w:t>Core Packages: react-intl, @formatjs/intl, @formatjs/cli</w:t>
      </w:r>
    </w:p>
    <w:p>
      <w:pPr>
        <w:keepNext/>
        <w:spacing w:before="200" w:after="60"/>
      </w:pPr>
      <w:r>
        <w:rPr>
          <w:rFonts w:ascii="Calibri" w:hAnsi="Calibri"/>
          <w:b/>
          <w:color w:val="1B365D"/>
          <w:sz w:val="22"/>
        </w:rPr>
        <w:t>A. Architecture &amp; Working Mechanism</w:t>
      </w:r>
    </w:p>
    <w:p>
      <w:pPr>
        <w:spacing w:before="0" w:after="120" w:line="276" w:lineRule="auto"/>
      </w:pPr>
      <w:r>
        <w:rPr>
          <w:rFonts w:ascii="Calibri" w:hAnsi="Calibri"/>
          <w:color w:val="1E293B"/>
          <w:sz w:val="20"/>
        </w:rPr>
        <w:t>FormatJS is built around the official Unicode ICU MessageFormat standard. It wraps native browser ECMAScript Intl APIs (Intl.NumberFormat, Intl.DateTimeFormat, Intl.PluralRules) inside an IntlProvider context. Translation strings use strict ICU argument expressions ({count, plural, =0 {None} one {One} ...}).</w:t>
      </w:r>
    </w:p>
    <w:p>
      <w:pPr>
        <w:keepNext/>
        <w:spacing w:before="200" w:after="60"/>
      </w:pPr>
      <w:r>
        <w:rPr>
          <w:rFonts w:ascii="Calibri" w:hAnsi="Calibri"/>
          <w:b/>
          <w:color w:val="1B365D"/>
          <w:sz w:val="22"/>
        </w:rPr>
        <w:t>B. Implementation Blueprint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ICU Implementation Example</w:t>
              <w:br/>
            </w:r>
            <w:r>
              <w:rPr>
                <w:rFonts w:ascii="Consolas" w:hAnsi="Consolas"/>
                <w:color w:val="1E293B"/>
                <w:sz w:val="17"/>
              </w:rPr>
              <w:t>// ICU Message definition in src/locales/ar.json</w:t>
              <w:br/>
              <w:t>{</w:t>
              <w:br/>
              <w:t xml:space="preserve">  "finance.invoice_status": "{count, plural, =0 {لا توجد فواتير معلقة} one {فاتورة واحدة معلقة} two {فاتورتان معلقتان} few {{count} فواتير معلقة} many {{count} فاتورة معلقة} other {{count} فاتورة معلقة}}",</w:t>
              <w:br/>
              <w:t xml:space="preserve">  "finance.balance": "الرصيد المتاح: {amount, number, ::currency/JOD}"</w:t>
              <w:br/>
              <w:t>}</w:t>
              <w:br/>
              <w:br/>
              <w:t>// Usage in React Component</w:t>
              <w:br/>
              <w:t>import { FormattedMessage, useIntl } from 'react-intl';</w:t>
              <w:br/>
              <w:br/>
              <w:t>export function InvoiceStatus({ count, balance }) {</w:t>
              <w:br/>
              <w:t xml:space="preserve">  const intl = useIntl();</w:t>
              <w:br/>
              <w:t xml:space="preserve">  return (</w:t>
              <w:br/>
              <w:t xml:space="preserve">    &lt;div&gt;</w:t>
              <w:br/>
              <w:t xml:space="preserve">      &lt;FormattedMessage id="finance.invoice_status" values={{ count }} /&gt;</w:t>
              <w:br/>
              <w:t xml:space="preserve">      &lt;p&gt;{intl.formatNumber(balance, { style: 'currency', currency: 'JOD' })}&lt;/p&gt;</w:t>
              <w:br/>
              <w:t xml:space="preserve">    &lt;/div&gt;</w:t>
              <w:br/>
              <w:t xml:space="preserve">  );</w:t>
              <w:br/>
              <w:t>}</w:t>
            </w:r>
          </w:p>
        </w:tc>
      </w:tr>
    </w:tbl>
    <w:p>
      <w:pPr>
        <w:spacing w:before="0" w:after="80"/>
      </w:pPr>
    </w:p>
    <w:p>
      <w:pPr>
        <w:keepNext/>
        <w:spacing w:before="200" w:after="60"/>
      </w:pPr>
      <w:r>
        <w:rPr>
          <w:rFonts w:ascii="Calibri" w:hAnsi="Calibri"/>
          <w:b/>
          <w:color w:val="1B365D"/>
          <w:sz w:val="22"/>
        </w:rPr>
        <w:t>C. Pros, Cons &amp; Arabic RTL Assessment</w:t>
      </w:r>
    </w:p>
    <w:p>
      <w:pPr>
        <w:pStyle w:val="ListBullet"/>
        <w:spacing w:before="0" w:after="60" w:line="276" w:lineRule="auto"/>
      </w:pPr>
      <w:r>
        <w:rPr>
          <w:rFonts w:ascii="Calibri" w:hAnsi="Calibri"/>
          <w:b/>
          <w:color w:val="1E293B"/>
          <w:sz w:val="20"/>
        </w:rPr>
        <w:t xml:space="preserve">Pros: </w:t>
      </w:r>
      <w:r>
        <w:rPr>
          <w:rFonts w:ascii="Calibri" w:hAnsi="Calibri"/>
          <w:color w:val="1E293B"/>
          <w:sz w:val="20"/>
        </w:rPr>
        <w:t xml:space="preserve"> Strict ICU standard compliance; excellent for global enterprises using professional Translation Management Systems (Crowdin, Phrase, Lokalise).</w:t>
      </w:r>
    </w:p>
    <w:p>
      <w:pPr>
        <w:pStyle w:val="ListBullet"/>
        <w:spacing w:before="0" w:after="60" w:line="276" w:lineRule="auto"/>
      </w:pPr>
      <w:r>
        <w:rPr>
          <w:rFonts w:ascii="Calibri" w:hAnsi="Calibri"/>
          <w:b/>
          <w:color w:val="1E293B"/>
          <w:sz w:val="20"/>
        </w:rPr>
        <w:t xml:space="preserve">Cons: </w:t>
      </w:r>
      <w:r>
        <w:rPr>
          <w:rFonts w:ascii="Calibri" w:hAnsi="Calibri"/>
          <w:color w:val="1E293B"/>
          <w:sz w:val="20"/>
        </w:rPr>
        <w:t xml:space="preserve"> Heavier runtime bundle (~12.8 KB gzipped); complex syntax prone to typos without linting; no automatic DOM direction synchronization.</w:t>
      </w:r>
    </w:p>
    <w:p>
      <w:pPr>
        <w:pStyle w:val="ListBullet"/>
        <w:spacing w:before="0" w:after="60" w:line="276" w:lineRule="auto"/>
      </w:pPr>
      <w:r>
        <w:rPr>
          <w:rFonts w:ascii="Calibri" w:hAnsi="Calibri"/>
          <w:b/>
          <w:color w:val="1E293B"/>
          <w:sz w:val="20"/>
        </w:rPr>
        <w:t xml:space="preserve">Arabic RTL: </w:t>
      </w:r>
      <w:r>
        <w:rPr>
          <w:rFonts w:ascii="Calibri" w:hAnsi="Calibri"/>
          <w:color w:val="1E293B"/>
          <w:sz w:val="20"/>
        </w:rPr>
        <w:t xml:space="preserve"> Score: 9.0/10. Handles 6-tier Arabic plurals and JOD currency formatting flawlessly via ICU, but requires manual HTML dir management.</w:t>
      </w:r>
    </w:p>
    <w:p>
      <w:pPr>
        <w:keepNext/>
        <w:spacing w:before="280" w:after="80"/>
      </w:pPr>
      <w:r>
        <w:rPr>
          <w:rFonts w:ascii="Calibri" w:hAnsi="Calibri"/>
          <w:b/>
          <w:color w:val="0D8259"/>
          <w:sz w:val="26"/>
        </w:rPr>
        <w:t>2.3 Method 3: LinguiJS (Rank #3)</w:t>
      </w:r>
    </w:p>
    <w:p>
      <w:pPr>
        <w:spacing w:before="0" w:after="120" w:line="276" w:lineRule="auto"/>
      </w:pPr>
      <w:r>
        <w:rPr>
          <w:rFonts w:ascii="Calibri" w:hAnsi="Calibri"/>
          <w:b/>
          <w:color w:val="1E293B"/>
          <w:sz w:val="20"/>
        </w:rPr>
        <w:t xml:space="preserve">Ecosystem: </w:t>
      </w:r>
      <w:r>
        <w:rPr>
          <w:rFonts w:ascii="Calibri" w:hAnsi="Calibri"/>
          <w:color w:val="1E293B"/>
          <w:sz w:val="20"/>
        </w:rPr>
        <w:t>Core Packages: @lingui/react, @lingui/core, @lingui/macro, @lingui/cli</w:t>
      </w:r>
    </w:p>
    <w:p>
      <w:pPr>
        <w:keepNext/>
        <w:spacing w:before="200" w:after="60"/>
      </w:pPr>
      <w:r>
        <w:rPr>
          <w:rFonts w:ascii="Calibri" w:hAnsi="Calibri"/>
          <w:b/>
          <w:color w:val="1B365D"/>
          <w:sz w:val="22"/>
        </w:rPr>
        <w:t>A. Architecture &amp; Working Mechanism</w:t>
      </w:r>
    </w:p>
    <w:p>
      <w:pPr>
        <w:spacing w:before="0" w:after="120" w:line="276" w:lineRule="auto"/>
      </w:pPr>
      <w:r>
        <w:rPr>
          <w:rFonts w:ascii="Calibri" w:hAnsi="Calibri"/>
          <w:color w:val="1E293B"/>
          <w:sz w:val="20"/>
        </w:rPr>
        <w:t>LinguiJS utilizes compile-time AST transforms. Developers write inline translatable JSX (&lt;Trans&gt;Cash Flow&lt;/Trans&gt;), which a build-time macro compiles into compact JavaScript closures. Message catalogs are maintained in standard .po or .json formats.</w:t>
      </w:r>
    </w:p>
    <w:p>
      <w:pPr>
        <w:keepNext/>
        <w:spacing w:before="200" w:after="60"/>
      </w:pPr>
      <w:r>
        <w:rPr>
          <w:rFonts w:ascii="Calibri" w:hAnsi="Calibri"/>
          <w:b/>
          <w:color w:val="1B365D"/>
          <w:sz w:val="22"/>
        </w:rPr>
        <w:t>B. Implementation Blueprint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LinguiJS Plural Example</w:t>
              <w:br/>
            </w:r>
            <w:r>
              <w:rPr>
                <w:rFonts w:ascii="Consolas" w:hAnsi="Consolas"/>
                <w:color w:val="1E293B"/>
                <w:sz w:val="17"/>
              </w:rPr>
              <w:t>import { Trans, Plural } from '@lingui/macro';</w:t>
              <w:br/>
              <w:br/>
              <w:t>export function TenderSummary({ count }) {</w:t>
              <w:br/>
              <w:t xml:space="preserve">  return (</w:t>
              <w:br/>
              <w:t xml:space="preserve">    &lt;div&gt;</w:t>
              <w:br/>
              <w:t xml:space="preserve">      &lt;h1&gt;&lt;Trans&gt;Tender &amp; Bid Auditing&lt;/Trans&gt;&lt;/h1&gt;</w:t>
              <w:br/>
              <w:t xml:space="preserve">      &lt;Plural</w:t>
              <w:br/>
              <w:t xml:space="preserve">        value={count}</w:t>
              <w:br/>
              <w:t xml:space="preserve">        zero="لا توجد مناقصات معلقة"</w:t>
              <w:br/>
              <w:t xml:space="preserve">        one="مناقصة واحدة معلقة"</w:t>
              <w:br/>
              <w:t xml:space="preserve">        two="مناقصتان معلقتان"</w:t>
              <w:br/>
              <w:t xml:space="preserve">        few="# مناقصات معلقة"</w:t>
              <w:br/>
              <w:t xml:space="preserve">        many="# مناقصة معلقة"</w:t>
              <w:br/>
              <w:t xml:space="preserve">        other="# مناقصة معلقة"</w:t>
              <w:br/>
              <w:t xml:space="preserve">      /&gt;</w:t>
              <w:br/>
              <w:t xml:space="preserve">    &lt;/div&gt;</w:t>
              <w:br/>
              <w:t xml:space="preserve">  );</w:t>
              <w:br/>
              <w:t>}</w:t>
            </w:r>
          </w:p>
        </w:tc>
      </w:tr>
    </w:tbl>
    <w:p>
      <w:pPr>
        <w:spacing w:before="0" w:after="80"/>
      </w:pPr>
    </w:p>
    <w:p>
      <w:pPr>
        <w:keepNext/>
        <w:spacing w:before="200" w:after="60"/>
      </w:pPr>
      <w:r>
        <w:rPr>
          <w:rFonts w:ascii="Calibri" w:hAnsi="Calibri"/>
          <w:b/>
          <w:color w:val="1B365D"/>
          <w:sz w:val="22"/>
        </w:rPr>
        <w:t>C. Pros, Cons &amp; Arabic RTL Assessment</w:t>
      </w:r>
    </w:p>
    <w:p>
      <w:pPr>
        <w:pStyle w:val="ListBullet"/>
        <w:spacing w:before="0" w:after="60" w:line="276" w:lineRule="auto"/>
      </w:pPr>
      <w:r>
        <w:rPr>
          <w:rFonts w:ascii="Calibri" w:hAnsi="Calibri"/>
          <w:b/>
          <w:color w:val="1E293B"/>
          <w:sz w:val="20"/>
        </w:rPr>
        <w:t xml:space="preserve">Pros: </w:t>
      </w:r>
      <w:r>
        <w:rPr>
          <w:rFonts w:ascii="Calibri" w:hAnsi="Calibri"/>
          <w:color w:val="1E293B"/>
          <w:sz w:val="20"/>
        </w:rPr>
        <w:t xml:space="preserve"> Ultra-compact runtime (~2.1 KB gzipped); exceptional DX with inline JSX; compile-time catalog extraction.</w:t>
      </w:r>
    </w:p>
    <w:p>
      <w:pPr>
        <w:pStyle w:val="ListBullet"/>
        <w:spacing w:before="0" w:after="60" w:line="276" w:lineRule="auto"/>
      </w:pPr>
      <w:r>
        <w:rPr>
          <w:rFonts w:ascii="Calibri" w:hAnsi="Calibri"/>
          <w:b/>
          <w:color w:val="1E293B"/>
          <w:sz w:val="20"/>
        </w:rPr>
        <w:t xml:space="preserve">Cons: </w:t>
      </w:r>
      <w:r>
        <w:rPr>
          <w:rFonts w:ascii="Calibri" w:hAnsi="Calibri"/>
          <w:color w:val="1E293B"/>
          <w:sz w:val="20"/>
        </w:rPr>
        <w:t xml:space="preserve"> Requires configuring Babel macros or Vite compiler plugins; build setup adds friction.</w:t>
      </w:r>
    </w:p>
    <w:p>
      <w:pPr>
        <w:pStyle w:val="ListBullet"/>
        <w:spacing w:before="0" w:after="60" w:line="276" w:lineRule="auto"/>
      </w:pPr>
      <w:r>
        <w:rPr>
          <w:rFonts w:ascii="Calibri" w:hAnsi="Calibri"/>
          <w:b/>
          <w:color w:val="1E293B"/>
          <w:sz w:val="20"/>
        </w:rPr>
        <w:t xml:space="preserve">Arabic RTL: </w:t>
      </w:r>
      <w:r>
        <w:rPr>
          <w:rFonts w:ascii="Calibri" w:hAnsi="Calibri"/>
          <w:color w:val="1E293B"/>
          <w:sz w:val="20"/>
        </w:rPr>
        <w:t xml:space="preserve"> Score: 8.5/10. Native support for Arabic 6-form plurals via the &lt;Plural&gt; macro.</w:t>
      </w:r>
    </w:p>
    <w:p>
      <w:pPr>
        <w:keepNext/>
        <w:spacing w:before="280" w:after="80"/>
      </w:pPr>
      <w:r>
        <w:rPr>
          <w:rFonts w:ascii="Calibri" w:hAnsi="Calibri"/>
          <w:b/>
          <w:color w:val="0D8259"/>
          <w:sz w:val="26"/>
        </w:rPr>
        <w:t>2.4 Method 4: typesafe-i18n (Rank #4)</w:t>
      </w:r>
    </w:p>
    <w:p>
      <w:pPr>
        <w:spacing w:before="0" w:after="120" w:line="276" w:lineRule="auto"/>
      </w:pPr>
      <w:r>
        <w:rPr>
          <w:rFonts w:ascii="Calibri" w:hAnsi="Calibri"/>
          <w:b/>
          <w:color w:val="1E293B"/>
          <w:sz w:val="20"/>
        </w:rPr>
        <w:t xml:space="preserve">Ecosystem: </w:t>
      </w:r>
      <w:r>
        <w:rPr>
          <w:rFonts w:ascii="Calibri" w:hAnsi="Calibri"/>
          <w:color w:val="1E293B"/>
          <w:sz w:val="20"/>
        </w:rPr>
        <w:t>Core Packages: typesafe-i18n</w:t>
      </w:r>
    </w:p>
    <w:p>
      <w:pPr>
        <w:spacing w:before="0" w:after="120" w:line="276" w:lineRule="auto"/>
      </w:pPr>
      <w:r>
        <w:rPr>
          <w:rFonts w:ascii="Calibri" w:hAnsi="Calibri"/>
          <w:color w:val="1E293B"/>
          <w:sz w:val="20"/>
        </w:rPr>
        <w:t>typesafe-i18n parses base dictionary files and generates fully typed TypeScript interfaces, formatters, and lookup functions. It guarantees that missing keys or mismatched parameter types cause compilation errors. Bundle size is only ~1.1 KB gzipped. However, because QuickBox is currently built in JavaScript (.jsx), the primary benefit of typesafe-i18n is muted, while the background generator daemon adds developer overhead.</w:t>
      </w:r>
    </w:p>
    <w:p>
      <w:pPr>
        <w:keepNext/>
        <w:spacing w:before="280" w:after="80"/>
      </w:pPr>
      <w:r>
        <w:rPr>
          <w:rFonts w:ascii="Calibri" w:hAnsi="Calibri"/>
          <w:b/>
          <w:color w:val="0D8259"/>
          <w:sz w:val="26"/>
        </w:rPr>
        <w:t>2.5 Method 5: Custom React Context (LanguageContext) (Rank #5)</w:t>
      </w:r>
    </w:p>
    <w:p>
      <w:pPr>
        <w:spacing w:before="0" w:after="120" w:line="276" w:lineRule="auto"/>
      </w:pPr>
      <w:r>
        <w:rPr>
          <w:rFonts w:ascii="Calibri" w:hAnsi="Calibri"/>
          <w:b/>
          <w:color w:val="1E293B"/>
          <w:sz w:val="20"/>
        </w:rPr>
        <w:t xml:space="preserve">Ecosystem: </w:t>
      </w:r>
      <w:r>
        <w:rPr>
          <w:rFonts w:ascii="Calibri" w:hAnsi="Calibri"/>
          <w:color w:val="1E293B"/>
          <w:sz w:val="20"/>
        </w:rPr>
        <w:t>Core Packages: Zero external dependencies (Native ECMAScript Intl APIs)</w:t>
      </w:r>
    </w:p>
    <w:p>
      <w:pPr>
        <w:spacing w:before="0" w:after="120" w:line="276" w:lineRule="auto"/>
      </w:pPr>
      <w:r>
        <w:rPr>
          <w:rFonts w:ascii="Calibri" w:hAnsi="Calibri"/>
          <w:color w:val="1E293B"/>
          <w:sz w:val="20"/>
        </w:rPr>
        <w:t>A pure native architecture utilizing React's createContext, useContext, and useEffect hooks combined with browser C++ APIs (Intl.PluralRules, Intl.NumberFormat). It provides 100% compliant Arabic 6-form pluralization and JOD currency formatting in under 0.5 KB gzipped, with zero dependency risk and direct DOM synchronization.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Native Plural Engine</w:t>
              <w:br/>
            </w:r>
            <w:r>
              <w:rPr>
                <w:rFonts w:ascii="Consolas" w:hAnsi="Consolas"/>
                <w:color w:val="1E293B"/>
                <w:sz w:val="17"/>
              </w:rPr>
              <w:t>// Native Arabic Plural Resolution</w:t>
              <w:br/>
              <w:t>const pr = new Intl.PluralRules('ar');</w:t>
              <w:br/>
              <w:t>const rule = pr.select(count); // 'zero' | 'one' | 'two' | 'few' | 'many' | 'other'</w:t>
              <w:br/>
              <w:t>const resultString = translation[rule] || translation['other'];</w:t>
            </w:r>
          </w:p>
        </w:tc>
      </w:tr>
    </w:tbl>
    <w:p>
      <w:pPr>
        <w:spacing w:before="0" w:after="80"/>
      </w:pPr>
    </w:p>
    <w:p>
      <w:pPr>
        <w:keepNext/>
        <w:spacing w:before="280" w:after="80"/>
      </w:pPr>
      <w:r>
        <w:rPr>
          <w:rFonts w:ascii="Calibri" w:hAnsi="Calibri"/>
          <w:b/>
          <w:color w:val="0D8259"/>
          <w:sz w:val="26"/>
        </w:rPr>
        <w:t>2.6 Method 6: Rosetta (Rank #6)</w:t>
      </w:r>
    </w:p>
    <w:p>
      <w:pPr>
        <w:spacing w:before="0" w:after="120" w:line="276" w:lineRule="auto"/>
      </w:pPr>
      <w:r>
        <w:rPr>
          <w:rFonts w:ascii="Calibri" w:hAnsi="Calibri"/>
          <w:b/>
          <w:color w:val="1E293B"/>
          <w:sz w:val="20"/>
        </w:rPr>
        <w:t xml:space="preserve">Ecosystem: </w:t>
      </w:r>
      <w:r>
        <w:rPr>
          <w:rFonts w:ascii="Calibri" w:hAnsi="Calibri"/>
          <w:color w:val="1E293B"/>
          <w:sz w:val="20"/>
        </w:rPr>
        <w:t>Core Packages: rosetta (by Luke Edwards)</w:t>
      </w:r>
    </w:p>
    <w:p>
      <w:pPr>
        <w:spacing w:before="0" w:after="120" w:line="276" w:lineRule="auto"/>
      </w:pPr>
      <w:r>
        <w:rPr>
          <w:rFonts w:ascii="Calibri" w:hAnsi="Calibri"/>
          <w:color w:val="1E293B"/>
          <w:sz w:val="20"/>
        </w:rPr>
        <w:t>Weighing only ~340 bytes gzipped, Rosetta provides rapid dot-path key resolution (t('finance.title')) and regex variable interpolation. However, it completely lacks built-in pluralization, date/number formatting, and React lifecycle bindings, requiring significant custom wrapper code for enterprise Arabic applications.</w:t>
      </w:r>
    </w:p>
    <w:p>
      <w:pPr>
        <w:keepNext/>
        <w:spacing w:before="280" w:after="80"/>
      </w:pPr>
      <w:r>
        <w:rPr>
          <w:rFonts w:ascii="Calibri" w:hAnsi="Calibri"/>
          <w:b/>
          <w:color w:val="0D8259"/>
          <w:sz w:val="26"/>
        </w:rPr>
        <w:t>2.7 Method 7: Polyglot.js (Airbnb) (Rank #7)</w:t>
      </w:r>
    </w:p>
    <w:p>
      <w:pPr>
        <w:spacing w:before="0" w:after="120" w:line="276" w:lineRule="auto"/>
      </w:pPr>
      <w:r>
        <w:rPr>
          <w:rFonts w:ascii="Calibri" w:hAnsi="Calibri"/>
          <w:b/>
          <w:color w:val="1E293B"/>
          <w:sz w:val="20"/>
        </w:rPr>
        <w:t xml:space="preserve">Ecosystem: </w:t>
      </w:r>
      <w:r>
        <w:rPr>
          <w:rFonts w:ascii="Calibri" w:hAnsi="Calibri"/>
          <w:color w:val="1E293B"/>
          <w:sz w:val="20"/>
        </w:rPr>
        <w:t>Core Packages: node-polyglot</w:t>
      </w:r>
    </w:p>
    <w:p>
      <w:pPr>
        <w:spacing w:before="0" w:after="120" w:line="276" w:lineRule="auto"/>
      </w:pPr>
      <w:r>
        <w:rPr>
          <w:rFonts w:ascii="Calibri" w:hAnsi="Calibri"/>
          <w:color w:val="1E293B"/>
          <w:sz w:val="20"/>
        </w:rPr>
        <w:t>Airbnb's classic translation helper (~2.6 KB gzipped). Designed around a 2-tier delimiter format ('singular |||| plural'). Adapting it for Arabic's 6 CLDR plural rules requires overriding polyglot.pluralTypes with complex custom logic. Lacks modern React hooks and namespace code-splitting.</w:t>
      </w:r>
    </w:p>
    <w:p>
      <w:pPr>
        <w:keepNext/>
        <w:spacing w:before="280" w:after="80"/>
      </w:pPr>
      <w:r>
        <w:rPr>
          <w:rFonts w:ascii="Calibri" w:hAnsi="Calibri"/>
          <w:b/>
          <w:color w:val="0D8259"/>
          <w:sz w:val="26"/>
        </w:rPr>
        <w:t>2.8 Method 8: next-intl (Rank #8)</w:t>
      </w:r>
    </w:p>
    <w:p>
      <w:pPr>
        <w:spacing w:before="0" w:after="120" w:line="276" w:lineRule="auto"/>
      </w:pPr>
      <w:r>
        <w:rPr>
          <w:rFonts w:ascii="Calibri" w:hAnsi="Calibri"/>
          <w:b/>
          <w:color w:val="1E293B"/>
          <w:sz w:val="20"/>
        </w:rPr>
        <w:t xml:space="preserve">Ecosystem: </w:t>
      </w:r>
      <w:r>
        <w:rPr>
          <w:rFonts w:ascii="Calibri" w:hAnsi="Calibri"/>
          <w:color w:val="1E293B"/>
          <w:sz w:val="20"/>
        </w:rPr>
        <w:t>Core Packages: next-intl</w:t>
      </w:r>
    </w:p>
    <w:p>
      <w:pPr>
        <w:spacing w:before="0" w:after="120" w:line="276" w:lineRule="auto"/>
      </w:pPr>
      <w:r>
        <w:rPr>
          <w:rFonts w:ascii="Calibri" w:hAnsi="Calibri"/>
          <w:color w:val="1E293B"/>
          <w:sz w:val="20"/>
        </w:rPr>
        <w:t>An exceptional i18n solution designed specifically for Next.js App Router and React Server Components (0 KB client bundle). However, it is fundamentally incompatible with QuickBox's client-side Vite Single Page Application.</w:t>
      </w:r>
    </w:p>
    <w:p>
      <w:pPr>
        <w:keepNext/>
        <w:spacing w:before="280" w:after="80"/>
      </w:pPr>
      <w:r>
        <w:rPr>
          <w:rFonts w:ascii="Calibri" w:hAnsi="Calibri"/>
          <w:b/>
          <w:color w:val="0D8259"/>
          <w:sz w:val="26"/>
        </w:rPr>
        <w:t>2.9 Method 9: FBT (Meta / Facebook) (Rank #9)</w:t>
      </w:r>
    </w:p>
    <w:p>
      <w:pPr>
        <w:spacing w:before="0" w:after="120" w:line="276" w:lineRule="auto"/>
      </w:pPr>
      <w:r>
        <w:rPr>
          <w:rFonts w:ascii="Calibri" w:hAnsi="Calibri"/>
          <w:b/>
          <w:color w:val="1E293B"/>
          <w:sz w:val="20"/>
        </w:rPr>
        <w:t xml:space="preserve">Ecosystem: </w:t>
      </w:r>
      <w:r>
        <w:rPr>
          <w:rFonts w:ascii="Calibri" w:hAnsi="Calibri"/>
          <w:color w:val="1E293B"/>
          <w:sz w:val="20"/>
        </w:rPr>
        <w:t>Core Packages: fbt, fbt-runtime, babel-plugin-fbt</w:t>
      </w:r>
    </w:p>
    <w:p>
      <w:pPr>
        <w:spacing w:before="0" w:after="120" w:line="276" w:lineRule="auto"/>
      </w:pPr>
      <w:r>
        <w:rPr>
          <w:rFonts w:ascii="Calibri" w:hAnsi="Calibri"/>
          <w:color w:val="1E293B"/>
          <w:sz w:val="20"/>
        </w:rPr>
        <w:t>Meta's internal translation framework. Optimized for large social networks with complex grammatical gender and pronoun permutations. Suffers from invasive Babel transforms, hashed string tables, and near-zero Vite tooling support, making it unsuitable for QuickBox.</w:t>
      </w:r>
    </w:p>
    <w:p>
      <w:pPr>
        <w:keepNext/>
        <w:spacing w:before="360" w:after="120"/>
      </w:pPr>
      <w:r>
        <w:rPr>
          <w:rFonts w:ascii="Calibri" w:hAnsi="Calibri"/>
          <w:b/>
          <w:color w:val="1B365D"/>
          <w:sz w:val="32"/>
        </w:rPr>
        <w:t>Section 3: Exhaustive Arabic RTL &amp; BiDi Engineering Guide</w:t>
      </w:r>
    </w:p>
    <w:p>
      <w:pPr>
        <w:spacing w:before="0" w:after="120" w:line="276" w:lineRule="auto"/>
      </w:pPr>
      <w:r>
        <w:rPr>
          <w:rFonts w:ascii="Calibri" w:hAnsi="Calibri"/>
          <w:color w:val="1E293B"/>
          <w:sz w:val="20"/>
        </w:rPr>
        <w:t>Engineering an enterprise dashboard for Arabic right-to-left (RTL) reading order requires a rigorous, systematic approach across document attributes, CSS layout engines, typography, iconography, and bidirectional numerical handling.</w:t>
      </w:r>
    </w:p>
    <w:p>
      <w:pPr>
        <w:keepNext/>
        <w:spacing w:before="280" w:after="80"/>
      </w:pPr>
      <w:r>
        <w:rPr>
          <w:rFonts w:ascii="Calibri" w:hAnsi="Calibri"/>
          <w:b/>
          <w:color w:val="0D8259"/>
          <w:sz w:val="26"/>
        </w:rPr>
        <w:t>3.1 Document &amp; Root Direction Coordination</w:t>
      </w:r>
    </w:p>
    <w:p>
      <w:pPr>
        <w:spacing w:before="0" w:after="120" w:line="276" w:lineRule="auto"/>
      </w:pPr>
      <w:r>
        <w:rPr>
          <w:rFonts w:ascii="Calibri" w:hAnsi="Calibri"/>
          <w:color w:val="1E293B"/>
          <w:sz w:val="20"/>
        </w:rPr>
        <w:t>Toggling between English (LTR) and Arabic (RTL) requires synchronizing three browser attributes simultaneously:</w:t>
      </w:r>
    </w:p>
    <w:p>
      <w:pPr>
        <w:pStyle w:val="ListBullet"/>
        <w:spacing w:before="0" w:after="60" w:line="276" w:lineRule="auto"/>
      </w:pPr>
      <w:r>
        <w:rPr>
          <w:rFonts w:ascii="Calibri" w:hAnsi="Calibri"/>
          <w:b/>
          <w:color w:val="1E293B"/>
          <w:sz w:val="20"/>
        </w:rPr>
        <w:t>1. document.documentElement.dir = 'rtl' | 'ltr':</w:t>
      </w:r>
      <w:r>
        <w:rPr>
          <w:rFonts w:ascii="Calibri" w:hAnsi="Calibri"/>
          <w:color w:val="1E293B"/>
          <w:sz w:val="20"/>
        </w:rPr>
        <w:t xml:space="preserve"> Setting this attribute flips the browser's box model, text alignment defaults, table column progression, and flex/grid coordinate axes.</w:t>
      </w:r>
    </w:p>
    <w:p>
      <w:pPr>
        <w:pStyle w:val="ListBullet"/>
        <w:spacing w:before="0" w:after="60" w:line="276" w:lineRule="auto"/>
      </w:pPr>
      <w:r>
        <w:rPr>
          <w:rFonts w:ascii="Calibri" w:hAnsi="Calibri"/>
          <w:b/>
          <w:color w:val="1E293B"/>
          <w:sz w:val="20"/>
        </w:rPr>
        <w:t>2. document.documentElement.lang = 'ar' | 'en':</w:t>
      </w:r>
      <w:r>
        <w:rPr>
          <w:rFonts w:ascii="Calibri" w:hAnsi="Calibri"/>
          <w:color w:val="1E293B"/>
          <w:sz w:val="20"/>
        </w:rPr>
        <w:t xml:space="preserve"> Informs browser text-rendering engines, screen readers, spellcheckers, and font fallback chains.</w:t>
      </w:r>
    </w:p>
    <w:p>
      <w:pPr>
        <w:pStyle w:val="ListBullet"/>
        <w:spacing w:before="0" w:after="60" w:line="276" w:lineRule="auto"/>
      </w:pPr>
      <w:r>
        <w:rPr>
          <w:rFonts w:ascii="Calibri" w:hAnsi="Calibri"/>
          <w:b/>
          <w:color w:val="1E293B"/>
          <w:sz w:val="20"/>
        </w:rPr>
        <w:t>3. Synchronous Persistence:</w:t>
      </w:r>
      <w:r>
        <w:rPr>
          <w:rFonts w:ascii="Calibri" w:hAnsi="Calibri"/>
          <w:color w:val="1E293B"/>
          <w:sz w:val="20"/>
        </w:rPr>
        <w:t xml:space="preserve"> Persisting language state in localStorage ('quickbox_lang') ensures immediate hydration on page reload without Flash of Unstyled Direction (FOUCD).</w:t>
      </w:r>
    </w:p>
    <w:p>
      <w:pPr>
        <w:keepNext/>
        <w:spacing w:before="280" w:after="80"/>
      </w:pPr>
      <w:r>
        <w:rPr>
          <w:rFonts w:ascii="Calibri" w:hAnsi="Calibri"/>
          <w:b/>
          <w:color w:val="0D8259"/>
          <w:sz w:val="26"/>
        </w:rPr>
        <w:t>3.2 CSS Logical Properties vs Directional Overrides</w:t>
      </w:r>
    </w:p>
    <w:p>
      <w:pPr>
        <w:spacing w:before="0" w:after="120" w:line="276" w:lineRule="auto"/>
      </w:pPr>
      <w:r>
        <w:rPr>
          <w:rFonts w:ascii="Calibri" w:hAnsi="Calibri"/>
          <w:color w:val="1E293B"/>
          <w:sz w:val="20"/>
        </w:rPr>
        <w:t>Legacy CSS relies on physical directions (left, right, margin-left, padding-right). In a bilingual LTR/RTL application, physical properties require writing hundreds of brittle CSS overrides. Modern CSS Logical Properties abstract layout coordinates into Inline (text flow) and Block (stacking) axes, rendering automatically in both LTR and RTL:</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cantSplit/>
        </w:trPr>
        <w:tc>
          <w:tcPr>
            <w:tcW w:type="dxa" w:w="3168"/>
            <w:shd w:fill="1B365D"/>
            <w:tcMar>
              <w:top w:w="120" w:type="dxa"/>
              <w:bottom w:w="120" w:type="dxa"/>
              <w:left w:w="140" w:type="dxa"/>
              <w:right w:w="140" w:type="dxa"/>
            </w:tcMar>
          </w:tcPr>
          <w:p>
            <w:pPr>
              <w:spacing w:before="0" w:after="0"/>
              <w:jc w:val="left"/>
            </w:pPr>
            <w:r>
              <w:rPr>
                <w:rFonts w:ascii="Calibri" w:hAnsi="Calibri"/>
                <w:b/>
                <w:color w:val="FFFFFF"/>
                <w:sz w:val="19"/>
              </w:rPr>
              <w:t>Physical CSS (Legacy LTR-Only)</w:t>
            </w:r>
          </w:p>
        </w:tc>
        <w:tc>
          <w:tcPr>
            <w:tcW w:type="dxa" w:w="3168"/>
            <w:shd w:fill="1B365D"/>
            <w:tcMar>
              <w:top w:w="120" w:type="dxa"/>
              <w:bottom w:w="120" w:type="dxa"/>
              <w:left w:w="140" w:type="dxa"/>
              <w:right w:w="140" w:type="dxa"/>
            </w:tcMar>
          </w:tcPr>
          <w:p>
            <w:pPr>
              <w:spacing w:before="0" w:after="0"/>
              <w:jc w:val="left"/>
            </w:pPr>
            <w:r>
              <w:rPr>
                <w:rFonts w:ascii="Calibri" w:hAnsi="Calibri"/>
                <w:b/>
                <w:color w:val="FFFFFF"/>
                <w:sz w:val="19"/>
              </w:rPr>
              <w:t>Modern CSS Logical Property</w:t>
            </w:r>
          </w:p>
        </w:tc>
        <w:tc>
          <w:tcPr>
            <w:tcW w:type="dxa" w:w="3024"/>
            <w:shd w:fill="1B365D"/>
            <w:tcMar>
              <w:top w:w="120" w:type="dxa"/>
              <w:bottom w:w="120" w:type="dxa"/>
              <w:left w:w="140" w:type="dxa"/>
              <w:right w:w="140" w:type="dxa"/>
            </w:tcMar>
          </w:tcPr>
          <w:p>
            <w:pPr>
              <w:spacing w:before="0" w:after="0"/>
              <w:jc w:val="left"/>
            </w:pPr>
            <w:r>
              <w:rPr>
                <w:rFonts w:ascii="Calibri" w:hAnsi="Calibri"/>
                <w:b/>
                <w:color w:val="FFFFFF"/>
                <w:sz w:val="19"/>
              </w:rPr>
              <w:t>RTL Automatic Behavior (dir='rtl')</w:t>
            </w:r>
          </w:p>
        </w:tc>
      </w:tr>
      <w:tr>
        <w:trPr>
          <w:cantSplit/>
        </w:trPr>
        <w:tc>
          <w:tcPr>
            <w:tcW w:type="dxa" w:w="316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margin-left: 16px;</w:t>
            </w:r>
          </w:p>
        </w:tc>
        <w:tc>
          <w:tcPr>
            <w:tcW w:type="dxa" w:w="3168"/>
            <w:shd w:fill="F8FAFC"/>
            <w:tcMar>
              <w:top w:w="90" w:type="dxa"/>
              <w:bottom w:w="90" w:type="dxa"/>
              <w:left w:w="120" w:type="dxa"/>
              <w:right w:w="120" w:type="dxa"/>
            </w:tcMar>
          </w:tcPr>
          <w:p>
            <w:pPr>
              <w:spacing w:before="0" w:after="0" w:line="276" w:lineRule="auto"/>
              <w:jc w:val="left"/>
            </w:pPr>
            <w:r>
              <w:rPr>
                <w:rFonts w:ascii="Calibri" w:hAnsi="Calibri"/>
                <w:color w:val="1E293B"/>
                <w:sz w:val="18"/>
              </w:rPr>
              <w:t>margin-inline-start: 16px;</w:t>
            </w:r>
          </w:p>
        </w:tc>
        <w:tc>
          <w:tcPr>
            <w:tcW w:type="dxa" w:w="3024"/>
            <w:shd w:fill="F8FAFC"/>
            <w:tcMar>
              <w:top w:w="90" w:type="dxa"/>
              <w:bottom w:w="90" w:type="dxa"/>
              <w:left w:w="120" w:type="dxa"/>
              <w:right w:w="120" w:type="dxa"/>
            </w:tcMar>
          </w:tcPr>
          <w:p>
            <w:pPr>
              <w:spacing w:before="0" w:after="0" w:line="276" w:lineRule="auto"/>
              <w:jc w:val="left"/>
            </w:pPr>
            <w:r>
              <w:rPr>
                <w:rFonts w:ascii="Calibri" w:hAnsi="Calibri"/>
                <w:color w:val="1E293B"/>
                <w:sz w:val="18"/>
              </w:rPr>
              <w:t>Becomes physical margin-right: 16px;</w:t>
            </w:r>
          </w:p>
        </w:tc>
      </w:tr>
      <w:tr>
        <w:trPr>
          <w:cantSplit/>
        </w:trPr>
        <w:tc>
          <w:tcPr>
            <w:tcW w:type="dxa" w:w="316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margin-right: 16px;</w:t>
            </w:r>
          </w:p>
        </w:tc>
        <w:tc>
          <w:tcPr>
            <w:tcW w:type="dxa" w:w="3168"/>
            <w:shd w:fill="FFFFFF"/>
            <w:tcMar>
              <w:top w:w="90" w:type="dxa"/>
              <w:bottom w:w="90" w:type="dxa"/>
              <w:left w:w="120" w:type="dxa"/>
              <w:right w:w="120" w:type="dxa"/>
            </w:tcMar>
          </w:tcPr>
          <w:p>
            <w:pPr>
              <w:spacing w:before="0" w:after="0" w:line="276" w:lineRule="auto"/>
              <w:jc w:val="left"/>
            </w:pPr>
            <w:r>
              <w:rPr>
                <w:rFonts w:ascii="Calibri" w:hAnsi="Calibri"/>
                <w:color w:val="1E293B"/>
                <w:sz w:val="18"/>
              </w:rPr>
              <w:t>margin-inline-end: 16px;</w:t>
            </w:r>
          </w:p>
        </w:tc>
        <w:tc>
          <w:tcPr>
            <w:tcW w:type="dxa" w:w="3024"/>
            <w:shd w:fill="FFFFFF"/>
            <w:tcMar>
              <w:top w:w="90" w:type="dxa"/>
              <w:bottom w:w="90" w:type="dxa"/>
              <w:left w:w="120" w:type="dxa"/>
              <w:right w:w="120" w:type="dxa"/>
            </w:tcMar>
          </w:tcPr>
          <w:p>
            <w:pPr>
              <w:spacing w:before="0" w:after="0" w:line="276" w:lineRule="auto"/>
              <w:jc w:val="left"/>
            </w:pPr>
            <w:r>
              <w:rPr>
                <w:rFonts w:ascii="Calibri" w:hAnsi="Calibri"/>
                <w:color w:val="1E293B"/>
                <w:sz w:val="18"/>
              </w:rPr>
              <w:t>Becomes physical margin-left: 16px;</w:t>
            </w:r>
          </w:p>
        </w:tc>
      </w:tr>
      <w:tr>
        <w:trPr>
          <w:cantSplit/>
        </w:trPr>
        <w:tc>
          <w:tcPr>
            <w:tcW w:type="dxa" w:w="316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padding-left: 12px;</w:t>
            </w:r>
          </w:p>
        </w:tc>
        <w:tc>
          <w:tcPr>
            <w:tcW w:type="dxa" w:w="3168"/>
            <w:shd w:fill="F8FAFC"/>
            <w:tcMar>
              <w:top w:w="90" w:type="dxa"/>
              <w:bottom w:w="90" w:type="dxa"/>
              <w:left w:w="120" w:type="dxa"/>
              <w:right w:w="120" w:type="dxa"/>
            </w:tcMar>
          </w:tcPr>
          <w:p>
            <w:pPr>
              <w:spacing w:before="0" w:after="0" w:line="276" w:lineRule="auto"/>
              <w:jc w:val="left"/>
            </w:pPr>
            <w:r>
              <w:rPr>
                <w:rFonts w:ascii="Calibri" w:hAnsi="Calibri"/>
                <w:color w:val="1E293B"/>
                <w:sz w:val="18"/>
              </w:rPr>
              <w:t>padding-inline-start: 12px;</w:t>
            </w:r>
          </w:p>
        </w:tc>
        <w:tc>
          <w:tcPr>
            <w:tcW w:type="dxa" w:w="3024"/>
            <w:shd w:fill="F8FAFC"/>
            <w:tcMar>
              <w:top w:w="90" w:type="dxa"/>
              <w:bottom w:w="90" w:type="dxa"/>
              <w:left w:w="120" w:type="dxa"/>
              <w:right w:w="120" w:type="dxa"/>
            </w:tcMar>
          </w:tcPr>
          <w:p>
            <w:pPr>
              <w:spacing w:before="0" w:after="0" w:line="276" w:lineRule="auto"/>
              <w:jc w:val="left"/>
            </w:pPr>
            <w:r>
              <w:rPr>
                <w:rFonts w:ascii="Calibri" w:hAnsi="Calibri"/>
                <w:color w:val="1E293B"/>
                <w:sz w:val="18"/>
              </w:rPr>
              <w:t>Becomes physical padding-right: 12px;</w:t>
            </w:r>
          </w:p>
        </w:tc>
      </w:tr>
      <w:tr>
        <w:trPr>
          <w:cantSplit/>
        </w:trPr>
        <w:tc>
          <w:tcPr>
            <w:tcW w:type="dxa" w:w="316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padding-right: 12px;</w:t>
            </w:r>
          </w:p>
        </w:tc>
        <w:tc>
          <w:tcPr>
            <w:tcW w:type="dxa" w:w="3168"/>
            <w:shd w:fill="FFFFFF"/>
            <w:tcMar>
              <w:top w:w="90" w:type="dxa"/>
              <w:bottom w:w="90" w:type="dxa"/>
              <w:left w:w="120" w:type="dxa"/>
              <w:right w:w="120" w:type="dxa"/>
            </w:tcMar>
          </w:tcPr>
          <w:p>
            <w:pPr>
              <w:spacing w:before="0" w:after="0" w:line="276" w:lineRule="auto"/>
              <w:jc w:val="left"/>
            </w:pPr>
            <w:r>
              <w:rPr>
                <w:rFonts w:ascii="Calibri" w:hAnsi="Calibri"/>
                <w:color w:val="1E293B"/>
                <w:sz w:val="18"/>
              </w:rPr>
              <w:t>padding-inline-end: 12px;</w:t>
            </w:r>
          </w:p>
        </w:tc>
        <w:tc>
          <w:tcPr>
            <w:tcW w:type="dxa" w:w="3024"/>
            <w:shd w:fill="FFFFFF"/>
            <w:tcMar>
              <w:top w:w="90" w:type="dxa"/>
              <w:bottom w:w="90" w:type="dxa"/>
              <w:left w:w="120" w:type="dxa"/>
              <w:right w:w="120" w:type="dxa"/>
            </w:tcMar>
          </w:tcPr>
          <w:p>
            <w:pPr>
              <w:spacing w:before="0" w:after="0" w:line="276" w:lineRule="auto"/>
              <w:jc w:val="left"/>
            </w:pPr>
            <w:r>
              <w:rPr>
                <w:rFonts w:ascii="Calibri" w:hAnsi="Calibri"/>
                <w:color w:val="1E293B"/>
                <w:sz w:val="18"/>
              </w:rPr>
              <w:t>Becomes physical padding-left: 12px;</w:t>
            </w:r>
          </w:p>
        </w:tc>
      </w:tr>
      <w:tr>
        <w:trPr>
          <w:cantSplit/>
        </w:trPr>
        <w:tc>
          <w:tcPr>
            <w:tcW w:type="dxa" w:w="316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left: 0; (absolute/fixed)</w:t>
            </w:r>
          </w:p>
        </w:tc>
        <w:tc>
          <w:tcPr>
            <w:tcW w:type="dxa" w:w="3168"/>
            <w:shd w:fill="F8FAFC"/>
            <w:tcMar>
              <w:top w:w="90" w:type="dxa"/>
              <w:bottom w:w="90" w:type="dxa"/>
              <w:left w:w="120" w:type="dxa"/>
              <w:right w:w="120" w:type="dxa"/>
            </w:tcMar>
          </w:tcPr>
          <w:p>
            <w:pPr>
              <w:spacing w:before="0" w:after="0" w:line="276" w:lineRule="auto"/>
              <w:jc w:val="left"/>
            </w:pPr>
            <w:r>
              <w:rPr>
                <w:rFonts w:ascii="Calibri" w:hAnsi="Calibri"/>
                <w:color w:val="1E293B"/>
                <w:sz w:val="18"/>
              </w:rPr>
              <w:t>inset-inline-start: 0;</w:t>
            </w:r>
          </w:p>
        </w:tc>
        <w:tc>
          <w:tcPr>
            <w:tcW w:type="dxa" w:w="3024"/>
            <w:shd w:fill="F8FAFC"/>
            <w:tcMar>
              <w:top w:w="90" w:type="dxa"/>
              <w:bottom w:w="90" w:type="dxa"/>
              <w:left w:w="120" w:type="dxa"/>
              <w:right w:w="120" w:type="dxa"/>
            </w:tcMar>
          </w:tcPr>
          <w:p>
            <w:pPr>
              <w:spacing w:before="0" w:after="0" w:line="276" w:lineRule="auto"/>
              <w:jc w:val="left"/>
            </w:pPr>
            <w:r>
              <w:rPr>
                <w:rFonts w:ascii="Calibri" w:hAnsi="Calibri"/>
                <w:color w:val="1E293B"/>
                <w:sz w:val="18"/>
              </w:rPr>
              <w:t>Attaches to right viewport edge in RTL</w:t>
            </w:r>
          </w:p>
        </w:tc>
      </w:tr>
      <w:tr>
        <w:trPr>
          <w:cantSplit/>
        </w:trPr>
        <w:tc>
          <w:tcPr>
            <w:tcW w:type="dxa" w:w="316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right: 0; (absolute/fixed)</w:t>
            </w:r>
          </w:p>
        </w:tc>
        <w:tc>
          <w:tcPr>
            <w:tcW w:type="dxa" w:w="3168"/>
            <w:shd w:fill="FFFFFF"/>
            <w:tcMar>
              <w:top w:w="90" w:type="dxa"/>
              <w:bottom w:w="90" w:type="dxa"/>
              <w:left w:w="120" w:type="dxa"/>
              <w:right w:w="120" w:type="dxa"/>
            </w:tcMar>
          </w:tcPr>
          <w:p>
            <w:pPr>
              <w:spacing w:before="0" w:after="0" w:line="276" w:lineRule="auto"/>
              <w:jc w:val="left"/>
            </w:pPr>
            <w:r>
              <w:rPr>
                <w:rFonts w:ascii="Calibri" w:hAnsi="Calibri"/>
                <w:color w:val="1E293B"/>
                <w:sz w:val="18"/>
              </w:rPr>
              <w:t>inset-inline-end: 0;</w:t>
            </w:r>
          </w:p>
        </w:tc>
        <w:tc>
          <w:tcPr>
            <w:tcW w:type="dxa" w:w="3024"/>
            <w:shd w:fill="FFFFFF"/>
            <w:tcMar>
              <w:top w:w="90" w:type="dxa"/>
              <w:bottom w:w="90" w:type="dxa"/>
              <w:left w:w="120" w:type="dxa"/>
              <w:right w:w="120" w:type="dxa"/>
            </w:tcMar>
          </w:tcPr>
          <w:p>
            <w:pPr>
              <w:spacing w:before="0" w:after="0" w:line="276" w:lineRule="auto"/>
              <w:jc w:val="left"/>
            </w:pPr>
            <w:r>
              <w:rPr>
                <w:rFonts w:ascii="Calibri" w:hAnsi="Calibri"/>
                <w:color w:val="1E293B"/>
                <w:sz w:val="18"/>
              </w:rPr>
              <w:t>Attaches to left viewport edge in RTL</w:t>
            </w:r>
          </w:p>
        </w:tc>
      </w:tr>
      <w:tr>
        <w:trPr>
          <w:cantSplit/>
        </w:trPr>
        <w:tc>
          <w:tcPr>
            <w:tcW w:type="dxa" w:w="316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text-align: left;</w:t>
            </w:r>
          </w:p>
        </w:tc>
        <w:tc>
          <w:tcPr>
            <w:tcW w:type="dxa" w:w="3168"/>
            <w:shd w:fill="F8FAFC"/>
            <w:tcMar>
              <w:top w:w="90" w:type="dxa"/>
              <w:bottom w:w="90" w:type="dxa"/>
              <w:left w:w="120" w:type="dxa"/>
              <w:right w:w="120" w:type="dxa"/>
            </w:tcMar>
          </w:tcPr>
          <w:p>
            <w:pPr>
              <w:spacing w:before="0" w:after="0" w:line="276" w:lineRule="auto"/>
              <w:jc w:val="left"/>
            </w:pPr>
            <w:r>
              <w:rPr>
                <w:rFonts w:ascii="Calibri" w:hAnsi="Calibri"/>
                <w:color w:val="1E293B"/>
                <w:sz w:val="18"/>
              </w:rPr>
              <w:t>text-align: start;</w:t>
            </w:r>
          </w:p>
        </w:tc>
        <w:tc>
          <w:tcPr>
            <w:tcW w:type="dxa" w:w="3024"/>
            <w:shd w:fill="F8FAFC"/>
            <w:tcMar>
              <w:top w:w="90" w:type="dxa"/>
              <w:bottom w:w="90" w:type="dxa"/>
              <w:left w:w="120" w:type="dxa"/>
              <w:right w:w="120" w:type="dxa"/>
            </w:tcMar>
          </w:tcPr>
          <w:p>
            <w:pPr>
              <w:spacing w:before="0" w:after="0" w:line="276" w:lineRule="auto"/>
              <w:jc w:val="left"/>
            </w:pPr>
            <w:r>
              <w:rPr>
                <w:rFonts w:ascii="Calibri" w:hAnsi="Calibri"/>
                <w:color w:val="1E293B"/>
                <w:sz w:val="18"/>
              </w:rPr>
              <w:t>Aligns right in Arabic, left in English</w:t>
            </w:r>
          </w:p>
        </w:tc>
      </w:tr>
      <w:tr>
        <w:trPr>
          <w:cantSplit/>
        </w:trPr>
        <w:tc>
          <w:tcPr>
            <w:tcW w:type="dxa" w:w="316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text-align: right;</w:t>
            </w:r>
          </w:p>
        </w:tc>
        <w:tc>
          <w:tcPr>
            <w:tcW w:type="dxa" w:w="3168"/>
            <w:shd w:fill="FFFFFF"/>
            <w:tcMar>
              <w:top w:w="90" w:type="dxa"/>
              <w:bottom w:w="90" w:type="dxa"/>
              <w:left w:w="120" w:type="dxa"/>
              <w:right w:w="120" w:type="dxa"/>
            </w:tcMar>
          </w:tcPr>
          <w:p>
            <w:pPr>
              <w:spacing w:before="0" w:after="0" w:line="276" w:lineRule="auto"/>
              <w:jc w:val="left"/>
            </w:pPr>
            <w:r>
              <w:rPr>
                <w:rFonts w:ascii="Calibri" w:hAnsi="Calibri"/>
                <w:color w:val="1E293B"/>
                <w:sz w:val="18"/>
              </w:rPr>
              <w:t>text-align: end;</w:t>
            </w:r>
          </w:p>
        </w:tc>
        <w:tc>
          <w:tcPr>
            <w:tcW w:type="dxa" w:w="3024"/>
            <w:shd w:fill="FFFFFF"/>
            <w:tcMar>
              <w:top w:w="90" w:type="dxa"/>
              <w:bottom w:w="90" w:type="dxa"/>
              <w:left w:w="120" w:type="dxa"/>
              <w:right w:w="120" w:type="dxa"/>
            </w:tcMar>
          </w:tcPr>
          <w:p>
            <w:pPr>
              <w:spacing w:before="0" w:after="0" w:line="276" w:lineRule="auto"/>
              <w:jc w:val="left"/>
            </w:pPr>
            <w:r>
              <w:rPr>
                <w:rFonts w:ascii="Calibri" w:hAnsi="Calibri"/>
                <w:color w:val="1E293B"/>
                <w:sz w:val="18"/>
              </w:rPr>
              <w:t>Aligns left in Arabic, right in English</w:t>
            </w:r>
          </w:p>
        </w:tc>
      </w:tr>
      <w:tr>
        <w:trPr>
          <w:cantSplit/>
        </w:trPr>
        <w:tc>
          <w:tcPr>
            <w:tcW w:type="dxa" w:w="316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border-left: 1px solid #ccc;</w:t>
            </w:r>
          </w:p>
        </w:tc>
        <w:tc>
          <w:tcPr>
            <w:tcW w:type="dxa" w:w="3168"/>
            <w:shd w:fill="F8FAFC"/>
            <w:tcMar>
              <w:top w:w="90" w:type="dxa"/>
              <w:bottom w:w="90" w:type="dxa"/>
              <w:left w:w="120" w:type="dxa"/>
              <w:right w:w="120" w:type="dxa"/>
            </w:tcMar>
          </w:tcPr>
          <w:p>
            <w:pPr>
              <w:spacing w:before="0" w:after="0" w:line="276" w:lineRule="auto"/>
              <w:jc w:val="left"/>
            </w:pPr>
            <w:r>
              <w:rPr>
                <w:rFonts w:ascii="Calibri" w:hAnsi="Calibri"/>
                <w:color w:val="1E293B"/>
                <w:sz w:val="18"/>
              </w:rPr>
              <w:t>border-inline-start: 1px solid #ccc;</w:t>
            </w:r>
          </w:p>
        </w:tc>
        <w:tc>
          <w:tcPr>
            <w:tcW w:type="dxa" w:w="3024"/>
            <w:shd w:fill="F8FAFC"/>
            <w:tcMar>
              <w:top w:w="90" w:type="dxa"/>
              <w:bottom w:w="90" w:type="dxa"/>
              <w:left w:w="120" w:type="dxa"/>
              <w:right w:w="120" w:type="dxa"/>
            </w:tcMar>
          </w:tcPr>
          <w:p>
            <w:pPr>
              <w:spacing w:before="0" w:after="0" w:line="276" w:lineRule="auto"/>
              <w:jc w:val="left"/>
            </w:pPr>
            <w:r>
              <w:rPr>
                <w:rFonts w:ascii="Calibri" w:hAnsi="Calibri"/>
                <w:color w:val="1E293B"/>
                <w:sz w:val="18"/>
              </w:rPr>
              <w:t>Border renders on right in Arabic</w:t>
            </w:r>
          </w:p>
        </w:tc>
      </w:tr>
      <w:tr>
        <w:trPr>
          <w:cantSplit/>
        </w:trPr>
        <w:tc>
          <w:tcPr>
            <w:tcW w:type="dxa" w:w="316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border-right: 1px solid #ccc;</w:t>
            </w:r>
          </w:p>
        </w:tc>
        <w:tc>
          <w:tcPr>
            <w:tcW w:type="dxa" w:w="3168"/>
            <w:shd w:fill="FFFFFF"/>
            <w:tcMar>
              <w:top w:w="90" w:type="dxa"/>
              <w:bottom w:w="90" w:type="dxa"/>
              <w:left w:w="120" w:type="dxa"/>
              <w:right w:w="120" w:type="dxa"/>
            </w:tcMar>
          </w:tcPr>
          <w:p>
            <w:pPr>
              <w:spacing w:before="0" w:after="0" w:line="276" w:lineRule="auto"/>
              <w:jc w:val="left"/>
            </w:pPr>
            <w:r>
              <w:rPr>
                <w:rFonts w:ascii="Calibri" w:hAnsi="Calibri"/>
                <w:color w:val="1E293B"/>
                <w:sz w:val="18"/>
              </w:rPr>
              <w:t>border-inline-end: 1px solid #ccc;</w:t>
            </w:r>
          </w:p>
        </w:tc>
        <w:tc>
          <w:tcPr>
            <w:tcW w:type="dxa" w:w="3024"/>
            <w:shd w:fill="FFFFFF"/>
            <w:tcMar>
              <w:top w:w="90" w:type="dxa"/>
              <w:bottom w:w="90" w:type="dxa"/>
              <w:left w:w="120" w:type="dxa"/>
              <w:right w:w="120" w:type="dxa"/>
            </w:tcMar>
          </w:tcPr>
          <w:p>
            <w:pPr>
              <w:spacing w:before="0" w:after="0" w:line="276" w:lineRule="auto"/>
              <w:jc w:val="left"/>
            </w:pPr>
            <w:r>
              <w:rPr>
                <w:rFonts w:ascii="Calibri" w:hAnsi="Calibri"/>
                <w:color w:val="1E293B"/>
                <w:sz w:val="18"/>
              </w:rPr>
              <w:t>Border renders on left in Arabic</w:t>
            </w:r>
          </w:p>
        </w:tc>
      </w:tr>
      <w:tr>
        <w:trPr>
          <w:cantSplit/>
        </w:trPr>
        <w:tc>
          <w:tcPr>
            <w:tcW w:type="dxa" w:w="316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border-top-left-radius: 8px;</w:t>
            </w:r>
          </w:p>
        </w:tc>
        <w:tc>
          <w:tcPr>
            <w:tcW w:type="dxa" w:w="3168"/>
            <w:shd w:fill="F8FAFC"/>
            <w:tcMar>
              <w:top w:w="90" w:type="dxa"/>
              <w:bottom w:w="90" w:type="dxa"/>
              <w:left w:w="120" w:type="dxa"/>
              <w:right w:w="120" w:type="dxa"/>
            </w:tcMar>
          </w:tcPr>
          <w:p>
            <w:pPr>
              <w:spacing w:before="0" w:after="0" w:line="276" w:lineRule="auto"/>
              <w:jc w:val="left"/>
            </w:pPr>
            <w:r>
              <w:rPr>
                <w:rFonts w:ascii="Calibri" w:hAnsi="Calibri"/>
                <w:color w:val="1E293B"/>
                <w:sz w:val="18"/>
              </w:rPr>
              <w:t>border-start-start-radius: 8px;</w:t>
            </w:r>
          </w:p>
        </w:tc>
        <w:tc>
          <w:tcPr>
            <w:tcW w:type="dxa" w:w="3024"/>
            <w:shd w:fill="F8FAFC"/>
            <w:tcMar>
              <w:top w:w="90" w:type="dxa"/>
              <w:bottom w:w="90" w:type="dxa"/>
              <w:left w:w="120" w:type="dxa"/>
              <w:right w:w="120" w:type="dxa"/>
            </w:tcMar>
          </w:tcPr>
          <w:p>
            <w:pPr>
              <w:spacing w:before="0" w:after="0" w:line="276" w:lineRule="auto"/>
              <w:jc w:val="left"/>
            </w:pPr>
            <w:r>
              <w:rPr>
                <w:rFonts w:ascii="Calibri" w:hAnsi="Calibri"/>
                <w:color w:val="1E293B"/>
                <w:sz w:val="18"/>
              </w:rPr>
              <w:t>Applies to top-right corner in RTL</w:t>
            </w:r>
          </w:p>
        </w:tc>
      </w:tr>
      <w:tr>
        <w:trPr>
          <w:cantSplit/>
        </w:trPr>
        <w:tc>
          <w:tcPr>
            <w:tcW w:type="dxa" w:w="316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border-top-right-radius: 8px;</w:t>
            </w:r>
          </w:p>
        </w:tc>
        <w:tc>
          <w:tcPr>
            <w:tcW w:type="dxa" w:w="3168"/>
            <w:shd w:fill="FFFFFF"/>
            <w:tcMar>
              <w:top w:w="90" w:type="dxa"/>
              <w:bottom w:w="90" w:type="dxa"/>
              <w:left w:w="120" w:type="dxa"/>
              <w:right w:w="120" w:type="dxa"/>
            </w:tcMar>
          </w:tcPr>
          <w:p>
            <w:pPr>
              <w:spacing w:before="0" w:after="0" w:line="276" w:lineRule="auto"/>
              <w:jc w:val="left"/>
            </w:pPr>
            <w:r>
              <w:rPr>
                <w:rFonts w:ascii="Calibri" w:hAnsi="Calibri"/>
                <w:color w:val="1E293B"/>
                <w:sz w:val="18"/>
              </w:rPr>
              <w:t>border-start-end-radius: 8px;</w:t>
            </w:r>
          </w:p>
        </w:tc>
        <w:tc>
          <w:tcPr>
            <w:tcW w:type="dxa" w:w="3024"/>
            <w:shd w:fill="FFFFFF"/>
            <w:tcMar>
              <w:top w:w="90" w:type="dxa"/>
              <w:bottom w:w="90" w:type="dxa"/>
              <w:left w:w="120" w:type="dxa"/>
              <w:right w:w="120" w:type="dxa"/>
            </w:tcMar>
          </w:tcPr>
          <w:p>
            <w:pPr>
              <w:spacing w:before="0" w:after="0" w:line="276" w:lineRule="auto"/>
              <w:jc w:val="left"/>
            </w:pPr>
            <w:r>
              <w:rPr>
                <w:rFonts w:ascii="Calibri" w:hAnsi="Calibri"/>
                <w:color w:val="1E293B"/>
                <w:sz w:val="18"/>
              </w:rPr>
              <w:t>Applies to top-left corner in RTL</w:t>
            </w:r>
          </w:p>
        </w:tc>
      </w:tr>
      <w:tr>
        <w:trPr>
          <w:cantSplit/>
        </w:trPr>
        <w:tc>
          <w:tcPr>
            <w:tcW w:type="dxa" w:w="316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border-bottom-left-radius: 8px;</w:t>
            </w:r>
          </w:p>
        </w:tc>
        <w:tc>
          <w:tcPr>
            <w:tcW w:type="dxa" w:w="3168"/>
            <w:shd w:fill="F8FAFC"/>
            <w:tcMar>
              <w:top w:w="90" w:type="dxa"/>
              <w:bottom w:w="90" w:type="dxa"/>
              <w:left w:w="120" w:type="dxa"/>
              <w:right w:w="120" w:type="dxa"/>
            </w:tcMar>
          </w:tcPr>
          <w:p>
            <w:pPr>
              <w:spacing w:before="0" w:after="0" w:line="276" w:lineRule="auto"/>
              <w:jc w:val="left"/>
            </w:pPr>
            <w:r>
              <w:rPr>
                <w:rFonts w:ascii="Calibri" w:hAnsi="Calibri"/>
                <w:color w:val="1E293B"/>
                <w:sz w:val="18"/>
              </w:rPr>
              <w:t>border-end-start-radius: 8px;</w:t>
            </w:r>
          </w:p>
        </w:tc>
        <w:tc>
          <w:tcPr>
            <w:tcW w:type="dxa" w:w="3024"/>
            <w:shd w:fill="F8FAFC"/>
            <w:tcMar>
              <w:top w:w="90" w:type="dxa"/>
              <w:bottom w:w="90" w:type="dxa"/>
              <w:left w:w="120" w:type="dxa"/>
              <w:right w:w="120" w:type="dxa"/>
            </w:tcMar>
          </w:tcPr>
          <w:p>
            <w:pPr>
              <w:spacing w:before="0" w:after="0" w:line="276" w:lineRule="auto"/>
              <w:jc w:val="left"/>
            </w:pPr>
            <w:r>
              <w:rPr>
                <w:rFonts w:ascii="Calibri" w:hAnsi="Calibri"/>
                <w:color w:val="1E293B"/>
                <w:sz w:val="18"/>
              </w:rPr>
              <w:t>Applies to bottom-right corner in RTL</w:t>
            </w:r>
          </w:p>
        </w:tc>
      </w:tr>
      <w:tr>
        <w:trPr>
          <w:cantSplit/>
        </w:trPr>
        <w:tc>
          <w:tcPr>
            <w:tcW w:type="dxa" w:w="316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border-bottom-right-radius: 8px;</w:t>
            </w:r>
          </w:p>
        </w:tc>
        <w:tc>
          <w:tcPr>
            <w:tcW w:type="dxa" w:w="3168"/>
            <w:shd w:fill="FFFFFF"/>
            <w:tcMar>
              <w:top w:w="90" w:type="dxa"/>
              <w:bottom w:w="90" w:type="dxa"/>
              <w:left w:w="120" w:type="dxa"/>
              <w:right w:w="120" w:type="dxa"/>
            </w:tcMar>
          </w:tcPr>
          <w:p>
            <w:pPr>
              <w:spacing w:before="0" w:after="0" w:line="276" w:lineRule="auto"/>
              <w:jc w:val="left"/>
            </w:pPr>
            <w:r>
              <w:rPr>
                <w:rFonts w:ascii="Calibri" w:hAnsi="Calibri"/>
                <w:color w:val="1E293B"/>
                <w:sz w:val="18"/>
              </w:rPr>
              <w:t>border-end-end-radius: 8px;</w:t>
            </w:r>
          </w:p>
        </w:tc>
        <w:tc>
          <w:tcPr>
            <w:tcW w:type="dxa" w:w="3024"/>
            <w:shd w:fill="FFFFFF"/>
            <w:tcMar>
              <w:top w:w="90" w:type="dxa"/>
              <w:bottom w:w="90" w:type="dxa"/>
              <w:left w:w="120" w:type="dxa"/>
              <w:right w:w="120" w:type="dxa"/>
            </w:tcMar>
          </w:tcPr>
          <w:p>
            <w:pPr>
              <w:spacing w:before="0" w:after="0" w:line="276" w:lineRule="auto"/>
              <w:jc w:val="left"/>
            </w:pPr>
            <w:r>
              <w:rPr>
                <w:rFonts w:ascii="Calibri" w:hAnsi="Calibri"/>
                <w:color w:val="1E293B"/>
                <w:sz w:val="18"/>
              </w:rPr>
              <w:t>Applies to bottom-left corner in RTL</w:t>
            </w:r>
          </w:p>
        </w:tc>
      </w:tr>
      <w:tr>
        <w:trPr>
          <w:cantSplit/>
        </w:trPr>
        <w:tc>
          <w:tcPr>
            <w:tcW w:type="dxa" w:w="3168"/>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float: left;</w:t>
            </w:r>
          </w:p>
        </w:tc>
        <w:tc>
          <w:tcPr>
            <w:tcW w:type="dxa" w:w="3168"/>
            <w:shd w:fill="F8FAFC"/>
            <w:tcMar>
              <w:top w:w="90" w:type="dxa"/>
              <w:bottom w:w="90" w:type="dxa"/>
              <w:left w:w="120" w:type="dxa"/>
              <w:right w:w="120" w:type="dxa"/>
            </w:tcMar>
          </w:tcPr>
          <w:p>
            <w:pPr>
              <w:spacing w:before="0" w:after="0" w:line="276" w:lineRule="auto"/>
              <w:jc w:val="left"/>
            </w:pPr>
            <w:r>
              <w:rPr>
                <w:rFonts w:ascii="Calibri" w:hAnsi="Calibri"/>
                <w:color w:val="1E293B"/>
                <w:sz w:val="18"/>
              </w:rPr>
              <w:t>float: inline-start;</w:t>
            </w:r>
          </w:p>
        </w:tc>
        <w:tc>
          <w:tcPr>
            <w:tcW w:type="dxa" w:w="3024"/>
            <w:shd w:fill="F8FAFC"/>
            <w:tcMar>
              <w:top w:w="90" w:type="dxa"/>
              <w:bottom w:w="90" w:type="dxa"/>
              <w:left w:w="120" w:type="dxa"/>
              <w:right w:w="120" w:type="dxa"/>
            </w:tcMar>
          </w:tcPr>
          <w:p>
            <w:pPr>
              <w:spacing w:before="0" w:after="0" w:line="276" w:lineRule="auto"/>
              <w:jc w:val="left"/>
            </w:pPr>
            <w:r>
              <w:rPr>
                <w:rFonts w:ascii="Calibri" w:hAnsi="Calibri"/>
                <w:color w:val="1E293B"/>
                <w:sz w:val="18"/>
              </w:rPr>
              <w:t>Floats right in RTL</w:t>
            </w:r>
          </w:p>
        </w:tc>
      </w:tr>
      <w:tr>
        <w:trPr>
          <w:cantSplit/>
        </w:trPr>
        <w:tc>
          <w:tcPr>
            <w:tcW w:type="dxa" w:w="3168"/>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clear: left;</w:t>
            </w:r>
          </w:p>
        </w:tc>
        <w:tc>
          <w:tcPr>
            <w:tcW w:type="dxa" w:w="3168"/>
            <w:shd w:fill="FFFFFF"/>
            <w:tcMar>
              <w:top w:w="90" w:type="dxa"/>
              <w:bottom w:w="90" w:type="dxa"/>
              <w:left w:w="120" w:type="dxa"/>
              <w:right w:w="120" w:type="dxa"/>
            </w:tcMar>
          </w:tcPr>
          <w:p>
            <w:pPr>
              <w:spacing w:before="0" w:after="0" w:line="276" w:lineRule="auto"/>
              <w:jc w:val="left"/>
            </w:pPr>
            <w:r>
              <w:rPr>
                <w:rFonts w:ascii="Calibri" w:hAnsi="Calibri"/>
                <w:color w:val="1E293B"/>
                <w:sz w:val="18"/>
              </w:rPr>
              <w:t>clear: inline-start;</w:t>
            </w:r>
          </w:p>
        </w:tc>
        <w:tc>
          <w:tcPr>
            <w:tcW w:type="dxa" w:w="3024"/>
            <w:shd w:fill="FFFFFF"/>
            <w:tcMar>
              <w:top w:w="90" w:type="dxa"/>
              <w:bottom w:w="90" w:type="dxa"/>
              <w:left w:w="120" w:type="dxa"/>
              <w:right w:w="120" w:type="dxa"/>
            </w:tcMar>
          </w:tcPr>
          <w:p>
            <w:pPr>
              <w:spacing w:before="0" w:after="0" w:line="276" w:lineRule="auto"/>
              <w:jc w:val="left"/>
            </w:pPr>
            <w:r>
              <w:rPr>
                <w:rFonts w:ascii="Calibri" w:hAnsi="Calibri"/>
                <w:color w:val="1E293B"/>
                <w:sz w:val="18"/>
              </w:rPr>
              <w:t>Clears right in RTL</w:t>
            </w:r>
          </w:p>
        </w:tc>
      </w:tr>
    </w:tbl>
    <w:p>
      <w:pPr>
        <w:spacing w:before="0" w:after="120"/>
      </w:pPr>
    </w:p>
    <w:p>
      <w:pPr>
        <w:keepNext/>
        <w:spacing w:before="280" w:after="80"/>
      </w:pPr>
      <w:r>
        <w:rPr>
          <w:rFonts w:ascii="Calibri" w:hAnsi="Calibri"/>
          <w:b/>
          <w:color w:val="0D8259"/>
          <w:sz w:val="26"/>
        </w:rPr>
        <w:t>3.3 Arabic Typography &amp; Font Engineering</w:t>
      </w:r>
    </w:p>
    <w:p>
      <w:pPr>
        <w:spacing w:before="0" w:after="120" w:line="276" w:lineRule="auto"/>
      </w:pPr>
      <w:r>
        <w:rPr>
          <w:rFonts w:ascii="Calibri" w:hAnsi="Calibri"/>
          <w:color w:val="1E293B"/>
          <w:sz w:val="20"/>
        </w:rPr>
        <w:t>Arabic typography possesses distinct aesthetic, calligraphic, and vertical spatial characteristics compared to Latin scripts:</w:t>
      </w:r>
    </w:p>
    <w:p>
      <w:pPr>
        <w:pStyle w:val="ListBullet"/>
        <w:spacing w:before="0" w:after="60" w:line="276" w:lineRule="auto"/>
      </w:pPr>
      <w:r>
        <w:rPr>
          <w:rFonts w:ascii="Calibri" w:hAnsi="Calibri"/>
          <w:b/>
          <w:color w:val="1E293B"/>
          <w:sz w:val="20"/>
        </w:rPr>
        <w:t xml:space="preserve">Cairo (Google Fonts): </w:t>
      </w:r>
      <w:r>
        <w:rPr>
          <w:rFonts w:ascii="Calibri" w:hAnsi="Calibri"/>
          <w:color w:val="1E293B"/>
          <w:sz w:val="20"/>
        </w:rPr>
        <w:t xml:space="preserve"> Modern geometric sans-serif with contemporary Kufic structure. Ideal for financial dashboards, KPI cards, and dense data tables.</w:t>
      </w:r>
    </w:p>
    <w:p>
      <w:pPr>
        <w:pStyle w:val="ListBullet"/>
        <w:spacing w:before="0" w:after="60" w:line="276" w:lineRule="auto"/>
      </w:pPr>
      <w:r>
        <w:rPr>
          <w:rFonts w:ascii="Calibri" w:hAnsi="Calibri"/>
          <w:b/>
          <w:color w:val="1E293B"/>
          <w:sz w:val="20"/>
        </w:rPr>
        <w:t xml:space="preserve">IBM Plex Sans Arabic: </w:t>
      </w:r>
      <w:r>
        <w:rPr>
          <w:rFonts w:ascii="Calibri" w:hAnsi="Calibri"/>
          <w:color w:val="1E293B"/>
          <w:sz w:val="20"/>
        </w:rPr>
        <w:t xml:space="preserve"> Engineered neo-grotesque designed to pair seamlessly with IBM Plex Sans Latin in enterprise audit platforms.</w:t>
      </w:r>
    </w:p>
    <w:p>
      <w:pPr>
        <w:pStyle w:val="ListBullet"/>
        <w:spacing w:before="0" w:after="60" w:line="276" w:lineRule="auto"/>
      </w:pPr>
      <w:r>
        <w:rPr>
          <w:rFonts w:ascii="Calibri" w:hAnsi="Calibri"/>
          <w:b/>
          <w:color w:val="1E293B"/>
          <w:sz w:val="20"/>
        </w:rPr>
        <w:t xml:space="preserve">Tajawal (Google Fonts): </w:t>
      </w:r>
      <w:r>
        <w:rPr>
          <w:rFonts w:ascii="Calibri" w:hAnsi="Calibri"/>
          <w:color w:val="1E293B"/>
          <w:sz w:val="20"/>
        </w:rPr>
        <w:t xml:space="preserve"> Rounded terminals, exceptionally legible at small body sizes (10px–12px).</w:t>
      </w:r>
    </w:p>
    <w:p>
      <w:pPr>
        <w:spacing w:before="0" w:after="120" w:line="276" w:lineRule="auto"/>
      </w:pPr>
      <w:r>
        <w:rPr>
          <w:rFonts w:ascii="Calibri" w:hAnsi="Calibri"/>
          <w:b/>
          <w:color w:val="1E293B"/>
          <w:sz w:val="20"/>
        </w:rPr>
        <w:t xml:space="preserve">Critical Engineering Rule: </w:t>
      </w:r>
      <w:r>
        <w:rPr>
          <w:rFonts w:ascii="Calibri" w:hAnsi="Calibri"/>
          <w:color w:val="1E293B"/>
          <w:sz w:val="20"/>
        </w:rPr>
        <w:t>Vertical Metrics &amp; Line-Height Expansion: Arabic characters extend significantly further above the x-height and below the baseline than Latin characters. Standard Latin line-heights (1.45) cause Arabic diacritics and descenders to clip. In RTL mode, body line-height must expand to 1.6–1.75:</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Dual Typography CSS Token System</w:t>
              <w:br/>
            </w:r>
            <w:r>
              <w:rPr>
                <w:rFonts w:ascii="Consolas" w:hAnsi="Consolas"/>
                <w:color w:val="1E293B"/>
                <w:sz w:val="17"/>
              </w:rPr>
              <w:t>@import url('https://fonts.googleapis.com/css2?family=Cairo:wght@400;500;600;700;800&amp;family=Inter:wght@400;500;600;700;800&amp;display=swap');</w:t>
              <w:br/>
              <w:br/>
              <w:t>:root {</w:t>
              <w:br/>
              <w:t xml:space="preserve">  --font-sans: 'Inter', system-ui, -apple-system, sans-serif;</w:t>
              <w:br/>
              <w:t xml:space="preserve">  --line-height-base: 1.45;</w:t>
              <w:br/>
              <w:t>}</w:t>
              <w:br/>
              <w:br/>
              <w:t>[dir="rtl"] {</w:t>
              <w:br/>
              <w:t xml:space="preserve">  --font-sans: 'Cairo', 'IBM Plex Sans Arabic', system-ui, sans-serif;</w:t>
              <w:br/>
              <w:t xml:space="preserve">  --line-height-base: 1.65; /* Expands vertical clearance for Arabic ascenders/descenders */</w:t>
              <w:br/>
              <w:t>}</w:t>
              <w:br/>
              <w:br/>
              <w:t>body, button, input, select, textarea {</w:t>
              <w:br/>
              <w:t xml:space="preserve">  font-family: var(--font-sans);</w:t>
              <w:br/>
              <w:t xml:space="preserve">  line-height: var(--line-height-base);</w:t>
              <w:br/>
              <w:t>}</w:t>
            </w:r>
          </w:p>
        </w:tc>
      </w:tr>
    </w:tbl>
    <w:p>
      <w:pPr>
        <w:spacing w:before="0" w:after="80"/>
      </w:pPr>
    </w:p>
    <w:p>
      <w:pPr>
        <w:keepNext/>
        <w:spacing w:before="280" w:after="80"/>
      </w:pPr>
      <w:r>
        <w:rPr>
          <w:rFonts w:ascii="Calibri" w:hAnsi="Calibri"/>
          <w:b/>
          <w:color w:val="0D8259"/>
          <w:sz w:val="26"/>
        </w:rPr>
        <w:t>3.4 Phosphor Icon Mirroring Taxonomy &amp; Rules</w:t>
      </w:r>
    </w:p>
    <w:p>
      <w:pPr>
        <w:spacing w:before="0" w:after="120" w:line="276" w:lineRule="auto"/>
      </w:pPr>
      <w:r>
        <w:rPr>
          <w:rFonts w:ascii="Calibri" w:hAnsi="Calibri"/>
          <w:color w:val="1E293B"/>
          <w:sz w:val="20"/>
        </w:rPr>
        <w:t>Not all icons should be mirrored when switching to RTL. Flipping the wrong icon creates severe cognitive dissonance for Arabic users: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Icon Category</w:t>
            </w:r>
          </w:p>
        </w:tc>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Phosphor Icon Components</w:t>
            </w:r>
          </w:p>
        </w:tc>
        <w:tc>
          <w:tcPr>
            <w:tcW w:type="dxa" w:w="1728"/>
            <w:shd w:fill="1B365D"/>
            <w:tcMar>
              <w:top w:w="120" w:type="dxa"/>
              <w:bottom w:w="120" w:type="dxa"/>
              <w:left w:w="140" w:type="dxa"/>
              <w:right w:w="140" w:type="dxa"/>
            </w:tcMar>
          </w:tcPr>
          <w:p>
            <w:pPr>
              <w:spacing w:before="0" w:after="0"/>
              <w:jc w:val="left"/>
            </w:pPr>
            <w:r>
              <w:rPr>
                <w:rFonts w:ascii="Calibri" w:hAnsi="Calibri"/>
                <w:b/>
                <w:color w:val="FFFFFF"/>
                <w:sz w:val="19"/>
              </w:rPr>
              <w:t>RTL Behavior</w:t>
            </w:r>
          </w:p>
        </w:tc>
        <w:tc>
          <w:tcPr>
            <w:tcW w:type="dxa" w:w="2448"/>
            <w:shd w:fill="1B365D"/>
            <w:tcMar>
              <w:top w:w="120" w:type="dxa"/>
              <w:bottom w:w="120" w:type="dxa"/>
              <w:left w:w="140" w:type="dxa"/>
              <w:right w:w="140" w:type="dxa"/>
            </w:tcMar>
          </w:tcPr>
          <w:p>
            <w:pPr>
              <w:spacing w:before="0" w:after="0"/>
              <w:jc w:val="left"/>
            </w:pPr>
            <w:r>
              <w:rPr>
                <w:rFonts w:ascii="Calibri" w:hAnsi="Calibri"/>
                <w:b/>
                <w:color w:val="FFFFFF"/>
                <w:sz w:val="19"/>
              </w:rPr>
              <w:t>Technical Justification</w:t>
            </w:r>
          </w:p>
        </w:tc>
      </w:tr>
      <w:tr>
        <w:trPr>
          <w:cantSplit/>
        </w:trPr>
        <w:tc>
          <w:tcPr>
            <w:tcW w:type="dxa" w:w="2592"/>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Category A: Directional (MUST FLIP)</w:t>
            </w:r>
          </w:p>
        </w:tc>
        <w:tc>
          <w:tcPr>
            <w:tcW w:type="dxa" w:w="2592"/>
            <w:shd w:fill="F8FAFC"/>
            <w:tcMar>
              <w:top w:w="90" w:type="dxa"/>
              <w:bottom w:w="90" w:type="dxa"/>
              <w:left w:w="120" w:type="dxa"/>
              <w:right w:w="120" w:type="dxa"/>
            </w:tcMar>
          </w:tcPr>
          <w:p>
            <w:pPr>
              <w:spacing w:before="0" w:after="0" w:line="276" w:lineRule="auto"/>
              <w:jc w:val="left"/>
            </w:pPr>
            <w:r>
              <w:rPr>
                <w:rFonts w:ascii="Calibri" w:hAnsi="Calibri"/>
                <w:color w:val="1E293B"/>
                <w:sz w:val="18"/>
              </w:rPr>
              <w:t>CaretLeft, CaretRight, ArrowLeft, ArrowRight, ArrowCircleRight, CaretDoubleLeft/Right</w:t>
            </w:r>
          </w:p>
        </w:tc>
        <w:tc>
          <w:tcPr>
            <w:tcW w:type="dxa" w:w="1728"/>
            <w:shd w:fill="F8FAFC"/>
            <w:tcMar>
              <w:top w:w="90" w:type="dxa"/>
              <w:bottom w:w="90" w:type="dxa"/>
              <w:left w:w="120" w:type="dxa"/>
              <w:right w:w="120" w:type="dxa"/>
            </w:tcMar>
          </w:tcPr>
          <w:p>
            <w:pPr>
              <w:spacing w:before="0" w:after="0" w:line="276" w:lineRule="auto"/>
              <w:jc w:val="left"/>
            </w:pPr>
            <w:r>
              <w:rPr>
                <w:rFonts w:ascii="Calibri" w:hAnsi="Calibri"/>
                <w:color w:val="1E293B"/>
                <w:sz w:val="18"/>
              </w:rPr>
              <w:t>Flip (scaleX(-1))</w:t>
            </w:r>
          </w:p>
        </w:tc>
        <w:tc>
          <w:tcPr>
            <w:tcW w:type="dxa" w:w="2448"/>
            <w:shd w:fill="F8FAFC"/>
            <w:tcMar>
              <w:top w:w="90" w:type="dxa"/>
              <w:bottom w:w="90" w:type="dxa"/>
              <w:left w:w="120" w:type="dxa"/>
              <w:right w:w="120" w:type="dxa"/>
            </w:tcMar>
          </w:tcPr>
          <w:p>
            <w:pPr>
              <w:spacing w:before="0" w:after="0" w:line="276" w:lineRule="auto"/>
              <w:jc w:val="left"/>
            </w:pPr>
            <w:r>
              <w:rPr>
                <w:rFonts w:ascii="Calibri" w:hAnsi="Calibri"/>
                <w:color w:val="1E293B"/>
                <w:sz w:val="18"/>
              </w:rPr>
              <w:t>Indicates navigation through time, hierarchy, or pagination. 'Back' points right in RTL.</w:t>
            </w:r>
          </w:p>
        </w:tc>
      </w:tr>
      <w:tr>
        <w:trPr>
          <w:cantSplit/>
        </w:trP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Category B: Universal / Invariant (NEVER FLIP)</w:t>
            </w:r>
          </w:p>
        </w:tc>
        <w:tc>
          <w:tcPr>
            <w:tcW w:type="dxa" w:w="2592"/>
            <w:shd w:fill="FFFFFF"/>
            <w:tcMar>
              <w:top w:w="90" w:type="dxa"/>
              <w:bottom w:w="90" w:type="dxa"/>
              <w:left w:w="120" w:type="dxa"/>
              <w:right w:w="120" w:type="dxa"/>
            </w:tcMar>
          </w:tcPr>
          <w:p>
            <w:pPr>
              <w:spacing w:before="0" w:after="0" w:line="276" w:lineRule="auto"/>
              <w:jc w:val="left"/>
            </w:pPr>
            <w:r>
              <w:rPr>
                <w:rFonts w:ascii="Calibri" w:hAnsi="Calibri"/>
                <w:color w:val="1E293B"/>
                <w:sz w:val="18"/>
              </w:rPr>
              <w:t>MagnifyingGlass, Trash, Bell, CheckCircle, WarningCircle, ShieldCheck, Gear, Lock</w:t>
            </w:r>
          </w:p>
        </w:tc>
        <w:tc>
          <w:tcPr>
            <w:tcW w:type="dxa" w:w="1728"/>
            <w:shd w:fill="FFFFFF"/>
            <w:tcMar>
              <w:top w:w="90" w:type="dxa"/>
              <w:bottom w:w="90" w:type="dxa"/>
              <w:left w:w="120" w:type="dxa"/>
              <w:right w:w="120" w:type="dxa"/>
            </w:tcMar>
          </w:tcPr>
          <w:p>
            <w:pPr>
              <w:spacing w:before="0" w:after="0" w:line="276" w:lineRule="auto"/>
              <w:jc w:val="left"/>
            </w:pPr>
            <w:r>
              <w:rPr>
                <w:rFonts w:ascii="Calibri" w:hAnsi="Calibri"/>
                <w:color w:val="1E293B"/>
                <w:sz w:val="18"/>
              </w:rPr>
              <w:t>Do NOT Flip (1:1)</w:t>
            </w:r>
          </w:p>
        </w:tc>
        <w:tc>
          <w:tcPr>
            <w:tcW w:type="dxa" w:w="2448"/>
            <w:shd w:fill="FFFFFF"/>
            <w:tcMar>
              <w:top w:w="90" w:type="dxa"/>
              <w:bottom w:w="90" w:type="dxa"/>
              <w:left w:w="120" w:type="dxa"/>
              <w:right w:w="120" w:type="dxa"/>
            </w:tcMar>
          </w:tcPr>
          <w:p>
            <w:pPr>
              <w:spacing w:before="0" w:after="0" w:line="276" w:lineRule="auto"/>
              <w:jc w:val="left"/>
            </w:pPr>
            <w:r>
              <w:rPr>
                <w:rFonts w:ascii="Calibri" w:hAnsi="Calibri"/>
                <w:color w:val="1E293B"/>
                <w:sz w:val="18"/>
              </w:rPr>
              <w:t>Represents physical real-world objects or symmetrical universal concepts.</w:t>
            </w:r>
          </w:p>
        </w:tc>
      </w:tr>
      <w:tr>
        <w:trPr>
          <w:cantSplit/>
        </w:trPr>
        <w:tc>
          <w:tcPr>
            <w:tcW w:type="dxa" w:w="2592"/>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Category C: Time / Clocks (NEVER FLIP)</w:t>
            </w:r>
          </w:p>
        </w:tc>
        <w:tc>
          <w:tcPr>
            <w:tcW w:type="dxa" w:w="2592"/>
            <w:shd w:fill="F8FAFC"/>
            <w:tcMar>
              <w:top w:w="90" w:type="dxa"/>
              <w:bottom w:w="90" w:type="dxa"/>
              <w:left w:w="120" w:type="dxa"/>
              <w:right w:w="120" w:type="dxa"/>
            </w:tcMar>
          </w:tcPr>
          <w:p>
            <w:pPr>
              <w:spacing w:before="0" w:after="0" w:line="276" w:lineRule="auto"/>
              <w:jc w:val="left"/>
            </w:pPr>
            <w:r>
              <w:rPr>
                <w:rFonts w:ascii="Calibri" w:hAnsi="Calibri"/>
                <w:color w:val="1E293B"/>
                <w:sz w:val="18"/>
              </w:rPr>
              <w:t>ClockCounterClockwise, Clock, Hourglass</w:t>
            </w:r>
          </w:p>
        </w:tc>
        <w:tc>
          <w:tcPr>
            <w:tcW w:type="dxa" w:w="1728"/>
            <w:shd w:fill="F8FAFC"/>
            <w:tcMar>
              <w:top w:w="90" w:type="dxa"/>
              <w:bottom w:w="90" w:type="dxa"/>
              <w:left w:w="120" w:type="dxa"/>
              <w:right w:w="120" w:type="dxa"/>
            </w:tcMar>
          </w:tcPr>
          <w:p>
            <w:pPr>
              <w:spacing w:before="0" w:after="0" w:line="276" w:lineRule="auto"/>
              <w:jc w:val="left"/>
            </w:pPr>
            <w:r>
              <w:rPr>
                <w:rFonts w:ascii="Calibri" w:hAnsi="Calibri"/>
                <w:color w:val="1E293B"/>
                <w:sz w:val="18"/>
              </w:rPr>
              <w:t>Do NOT Flip (1:1)</w:t>
            </w:r>
          </w:p>
        </w:tc>
        <w:tc>
          <w:tcPr>
            <w:tcW w:type="dxa" w:w="2448"/>
            <w:shd w:fill="F8FAFC"/>
            <w:tcMar>
              <w:top w:w="90" w:type="dxa"/>
              <w:bottom w:w="90" w:type="dxa"/>
              <w:left w:w="120" w:type="dxa"/>
              <w:right w:w="120" w:type="dxa"/>
            </w:tcMar>
          </w:tcPr>
          <w:p>
            <w:pPr>
              <w:spacing w:before="0" w:after="0" w:line="276" w:lineRule="auto"/>
              <w:jc w:val="left"/>
            </w:pPr>
            <w:r>
              <w:rPr>
                <w:rFonts w:ascii="Calibri" w:hAnsi="Calibri"/>
                <w:color w:val="1E293B"/>
                <w:sz w:val="18"/>
              </w:rPr>
              <w:t>Clocks run clockwise worldwide, including all Arab countries.</w:t>
            </w:r>
          </w:p>
        </w:tc>
      </w:tr>
      <w:tr>
        <w:trPr>
          <w:cantSplit/>
        </w:trP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Category D: Media Controls (NEVER FLIP)</w:t>
            </w:r>
          </w:p>
        </w:tc>
        <w:tc>
          <w:tcPr>
            <w:tcW w:type="dxa" w:w="2592"/>
            <w:shd w:fill="FFFFFF"/>
            <w:tcMar>
              <w:top w:w="90" w:type="dxa"/>
              <w:bottom w:w="90" w:type="dxa"/>
              <w:left w:w="120" w:type="dxa"/>
              <w:right w:w="120" w:type="dxa"/>
            </w:tcMar>
          </w:tcPr>
          <w:p>
            <w:pPr>
              <w:spacing w:before="0" w:after="0" w:line="276" w:lineRule="auto"/>
              <w:jc w:val="left"/>
            </w:pPr>
            <w:r>
              <w:rPr>
                <w:rFonts w:ascii="Calibri" w:hAnsi="Calibri"/>
                <w:color w:val="1E293B"/>
                <w:sz w:val="18"/>
              </w:rPr>
              <w:t>Play, Pause, FastForward, Rewind</w:t>
            </w:r>
          </w:p>
        </w:tc>
        <w:tc>
          <w:tcPr>
            <w:tcW w:type="dxa" w:w="1728"/>
            <w:shd w:fill="FFFFFF"/>
            <w:tcMar>
              <w:top w:w="90" w:type="dxa"/>
              <w:bottom w:w="90" w:type="dxa"/>
              <w:left w:w="120" w:type="dxa"/>
              <w:right w:w="120" w:type="dxa"/>
            </w:tcMar>
          </w:tcPr>
          <w:p>
            <w:pPr>
              <w:spacing w:before="0" w:after="0" w:line="276" w:lineRule="auto"/>
              <w:jc w:val="left"/>
            </w:pPr>
            <w:r>
              <w:rPr>
                <w:rFonts w:ascii="Calibri" w:hAnsi="Calibri"/>
                <w:color w:val="1E293B"/>
                <w:sz w:val="18"/>
              </w:rPr>
              <w:t>Do NOT Flip (1:1)</w:t>
            </w:r>
          </w:p>
        </w:tc>
        <w:tc>
          <w:tcPr>
            <w:tcW w:type="dxa" w:w="2448"/>
            <w:shd w:fill="FFFFFF"/>
            <w:tcMar>
              <w:top w:w="90" w:type="dxa"/>
              <w:bottom w:w="90" w:type="dxa"/>
              <w:left w:w="120" w:type="dxa"/>
              <w:right w:w="120" w:type="dxa"/>
            </w:tcMar>
          </w:tcPr>
          <w:p>
            <w:pPr>
              <w:spacing w:before="0" w:after="0" w:line="276" w:lineRule="auto"/>
              <w:jc w:val="left"/>
            </w:pPr>
            <w:r>
              <w:rPr>
                <w:rFonts w:ascii="Calibri" w:hAnsi="Calibri"/>
                <w:color w:val="1E293B"/>
                <w:sz w:val="18"/>
              </w:rPr>
              <w:t>International media playback standard: timeline always flows left-to-right (LTR).</w:t>
            </w:r>
          </w:p>
        </w:tc>
      </w:tr>
      <w:tr>
        <w:trPr>
          <w:cantSplit/>
        </w:trPr>
        <w:tc>
          <w:tcPr>
            <w:tcW w:type="dxa" w:w="2592"/>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Category E: Financial Charts / Sparklines</w:t>
            </w:r>
          </w:p>
        </w:tc>
        <w:tc>
          <w:tcPr>
            <w:tcW w:type="dxa" w:w="2592"/>
            <w:shd w:fill="F8FAFC"/>
            <w:tcMar>
              <w:top w:w="90" w:type="dxa"/>
              <w:bottom w:w="90" w:type="dxa"/>
              <w:left w:w="120" w:type="dxa"/>
              <w:right w:w="120" w:type="dxa"/>
            </w:tcMar>
          </w:tcPr>
          <w:p>
            <w:pPr>
              <w:spacing w:before="0" w:after="0" w:line="276" w:lineRule="auto"/>
              <w:jc w:val="left"/>
            </w:pPr>
            <w:r>
              <w:rPr>
                <w:rFonts w:ascii="Calibri" w:hAnsi="Calibri"/>
                <w:color w:val="1E293B"/>
                <w:sz w:val="18"/>
              </w:rPr>
              <w:t>SVG Line Charts, Donut Charts, Area Graphs</w:t>
            </w:r>
          </w:p>
        </w:tc>
        <w:tc>
          <w:tcPr>
            <w:tcW w:type="dxa" w:w="1728"/>
            <w:shd w:fill="F8FAFC"/>
            <w:tcMar>
              <w:top w:w="90" w:type="dxa"/>
              <w:bottom w:w="90" w:type="dxa"/>
              <w:left w:w="120" w:type="dxa"/>
              <w:right w:w="120" w:type="dxa"/>
            </w:tcMar>
          </w:tcPr>
          <w:p>
            <w:pPr>
              <w:spacing w:before="0" w:after="0" w:line="276" w:lineRule="auto"/>
              <w:jc w:val="left"/>
            </w:pPr>
            <w:r>
              <w:rPr>
                <w:rFonts w:ascii="Calibri" w:hAnsi="Calibri"/>
                <w:color w:val="1E293B"/>
                <w:sz w:val="18"/>
              </w:rPr>
              <w:t>Preserve LTR Timeline</w:t>
            </w:r>
          </w:p>
        </w:tc>
        <w:tc>
          <w:tcPr>
            <w:tcW w:type="dxa" w:w="2448"/>
            <w:shd w:fill="F8FAFC"/>
            <w:tcMar>
              <w:top w:w="90" w:type="dxa"/>
              <w:bottom w:w="90" w:type="dxa"/>
              <w:left w:w="120" w:type="dxa"/>
              <w:right w:w="120" w:type="dxa"/>
            </w:tcMar>
          </w:tcPr>
          <w:p>
            <w:pPr>
              <w:spacing w:before="0" w:after="0" w:line="276" w:lineRule="auto"/>
              <w:jc w:val="left"/>
            </w:pPr>
            <w:r>
              <w:rPr>
                <w:rFonts w:ascii="Calibri" w:hAnsi="Calibri"/>
                <w:color w:val="1E293B"/>
                <w:sz w:val="18"/>
              </w:rPr>
              <w:t>Chronological time in financial graphs (Jan-&gt;Dec) flows LTR across MENA terminals.</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Direction-Aware Icon Wrapper</w:t>
              <w:br/>
            </w:r>
            <w:r>
              <w:rPr>
                <w:rFonts w:ascii="Consolas" w:hAnsi="Consolas"/>
                <w:color w:val="1E293B"/>
                <w:sz w:val="17"/>
              </w:rPr>
              <w:t>// CSS Mirroring Utility for Directional Icons</w:t>
              <w:br/>
              <w:t>[dir="rtl"] .icon-directional,</w:t>
              <w:br/>
              <w:t>[dir="rtl"] .rtl-flip {</w:t>
              <w:br/>
              <w:t xml:space="preserve">  transform: scaleX(-1);</w:t>
              <w:br/>
              <w:t>}</w:t>
              <w:br/>
              <w:br/>
              <w:t>// Reusable React Wrapper: src/components/RTLIcon.jsx</w:t>
              <w:br/>
              <w:t>import React from 'react';</w:t>
              <w:br/>
              <w:t>import { useTranslation } from 'react-i18next';</w:t>
              <w:br/>
              <w:br/>
              <w:t>export function RTLIcon({ as: IconComponent, flip = false, className = '', ...props }) {</w:t>
              <w:br/>
              <w:t xml:space="preserve">  const { i18n } = useTranslation();</w:t>
              <w:br/>
              <w:t xml:space="preserve">  const isRtl = i18n.dir() === 'rtl';</w:t>
              <w:br/>
              <w:t xml:space="preserve">  const shouldFlip = flip &amp;&amp; isRtl;</w:t>
              <w:br/>
              <w:br/>
              <w:t xml:space="preserve">  return (</w:t>
              <w:br/>
              <w:t xml:space="preserve">    &lt;IconComponent</w:t>
              <w:br/>
              <w:t xml:space="preserve">      className={`${className} ${shouldFlip ? 'rtl-flipped' : ''}`}</w:t>
              <w:br/>
              <w:t xml:space="preserve">      style={shouldFlip ? { transform: 'scaleX(-1)' } : undefined}</w:t>
              <w:br/>
              <w:t xml:space="preserve">      {...props}</w:t>
              <w:br/>
              <w:t xml:space="preserve">    /&gt;</w:t>
              <w:br/>
              <w:t xml:space="preserve">  );</w:t>
              <w:br/>
              <w:t>}</w:t>
            </w:r>
          </w:p>
        </w:tc>
      </w:tr>
    </w:tbl>
    <w:p>
      <w:pPr>
        <w:spacing w:before="0" w:after="80"/>
      </w:pPr>
    </w:p>
    <w:p>
      <w:pPr>
        <w:keepNext/>
        <w:spacing w:before="280" w:after="80"/>
      </w:pPr>
      <w:r>
        <w:rPr>
          <w:rFonts w:ascii="Calibri" w:hAnsi="Calibri"/>
          <w:b/>
          <w:color w:val="0D8259"/>
          <w:sz w:val="26"/>
        </w:rPr>
        <w:t>3.5 Bidirectional (BiDi) Text Isolation &amp; Number Formatting</w:t>
      </w:r>
    </w:p>
    <w:p>
      <w:pPr>
        <w:spacing w:before="0" w:after="120" w:line="276" w:lineRule="auto"/>
      </w:pPr>
      <w:r>
        <w:rPr>
          <w:rFonts w:ascii="Calibri" w:hAnsi="Calibri"/>
          <w:color w:val="1E293B"/>
          <w:sz w:val="20"/>
        </w:rPr>
        <w:t>The Unicode Bidirectional Algorithm (UBA) can scramble mixed inline text (e.g., Arabic labels adjacent to English SKUs, phone numbers, or negative currency figures). To prevent text corruption:</w:t>
      </w:r>
    </w:p>
    <w:p>
      <w:pPr>
        <w:pStyle w:val="ListBullet"/>
        <w:spacing w:before="0" w:after="60" w:line="276" w:lineRule="auto"/>
      </w:pPr>
      <w:r>
        <w:rPr>
          <w:rFonts w:ascii="Calibri" w:hAnsi="Calibri"/>
          <w:b/>
          <w:color w:val="1E293B"/>
          <w:sz w:val="20"/>
        </w:rPr>
        <w:t xml:space="preserve">1. HTML5 &lt;bdi&gt; Tag: </w:t>
      </w:r>
      <w:r>
        <w:rPr>
          <w:rFonts w:ascii="Calibri" w:hAnsi="Calibri"/>
          <w:color w:val="1E293B"/>
          <w:sz w:val="20"/>
        </w:rPr>
        <w:t xml:space="preserve"> Always wrap dynamic codes, SKUs, email addresses, and phone numbers in HTML5 &lt;bdi&gt; (Bidirectional Isolation) elements.</w:t>
      </w:r>
    </w:p>
    <w:p>
      <w:pPr>
        <w:pStyle w:val="ListBullet"/>
        <w:spacing w:before="0" w:after="60" w:line="276" w:lineRule="auto"/>
      </w:pPr>
      <w:r>
        <w:rPr>
          <w:rFonts w:ascii="Calibri" w:hAnsi="Calibri"/>
          <w:b/>
          <w:color w:val="1E293B"/>
          <w:sz w:val="20"/>
        </w:rPr>
        <w:t xml:space="preserve">2. Western Arabic Digits (0-9): </w:t>
      </w:r>
      <w:r>
        <w:rPr>
          <w:rFonts w:ascii="Calibri" w:hAnsi="Calibri"/>
          <w:color w:val="1E293B"/>
          <w:sz w:val="20"/>
        </w:rPr>
        <w:t xml:space="preserve"> Standardize on Western Arabic numerals (0-9) for all financial tables, invoice totals, and KPI cards to ensure monospace column alignment and match Jordanian banking standards.</w:t>
      </w:r>
    </w:p>
    <w:p>
      <w:pPr>
        <w:pStyle w:val="ListBullet"/>
        <w:spacing w:before="0" w:after="60" w:line="276" w:lineRule="auto"/>
      </w:pPr>
      <w:r>
        <w:rPr>
          <w:rFonts w:ascii="Calibri" w:hAnsi="Calibri"/>
          <w:b/>
          <w:color w:val="1E293B"/>
          <w:sz w:val="20"/>
        </w:rPr>
        <w:t xml:space="preserve">3. JOD Currency Protection: </w:t>
      </w:r>
      <w:r>
        <w:rPr>
          <w:rFonts w:ascii="Calibri" w:hAnsi="Calibri"/>
          <w:color w:val="1E293B"/>
          <w:sz w:val="20"/>
        </w:rPr>
        <w:t xml:space="preserve"> Wrap financial amounts in direction: ltr; unicode-bidi: isolate; to prevent negative signs or currency codes from jumping across Arabic text.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CSS BiDi Isolation</w:t>
              <w:br/>
            </w:r>
            <w:r>
              <w:rPr>
                <w:rFonts w:ascii="Consolas" w:hAnsi="Consolas"/>
                <w:color w:val="1E293B"/>
                <w:sz w:val="17"/>
              </w:rPr>
              <w:t>/* CSS Number &amp; Currency Isolation */</w:t>
              <w:br/>
              <w:t>.numeric-cell,</w:t>
              <w:br/>
              <w:t>.currency-amount {</w:t>
              <w:br/>
              <w:t xml:space="preserve">  font-variant-numeric: tabular-nums;</w:t>
              <w:br/>
              <w:t xml:space="preserve">  direction: ltr;</w:t>
              <w:br/>
              <w:t xml:space="preserve">  text-align: end;</w:t>
              <w:br/>
              <w:t xml:space="preserve">  unicode-bidi: isolate;</w:t>
              <w:br/>
              <w:t>}</w:t>
            </w:r>
          </w:p>
        </w:tc>
      </w:tr>
    </w:tbl>
    <w:p>
      <w:pPr>
        <w:spacing w:before="0" w:after="80"/>
      </w:pPr>
    </w:p>
    <w:p>
      <w:pPr>
        <w:keepNext/>
        <w:spacing w:before="280" w:after="80"/>
      </w:pPr>
      <w:r>
        <w:rPr>
          <w:rFonts w:ascii="Calibri" w:hAnsi="Calibri"/>
          <w:b/>
          <w:color w:val="0D8259"/>
          <w:sz w:val="26"/>
        </w:rPr>
        <w:t>3.6 Arabic 6-Form Pluralization Deep Dive</w:t>
      </w:r>
    </w:p>
    <w:p>
      <w:pPr>
        <w:spacing w:before="0" w:after="120" w:line="276" w:lineRule="auto"/>
      </w:pPr>
      <w:r>
        <w:rPr>
          <w:rFonts w:ascii="Calibri" w:hAnsi="Calibri"/>
          <w:color w:val="1E293B"/>
          <w:sz w:val="20"/>
        </w:rPr>
        <w:t>Unlike English (which uses 2 plural forms: singular and plural), Arabic features 6 grammatical plural categories standardized in Unicode CLDR:</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1152"/>
            <w:shd w:fill="1B365D"/>
            <w:tcMar>
              <w:top w:w="120" w:type="dxa"/>
              <w:bottom w:w="120" w:type="dxa"/>
              <w:left w:w="140" w:type="dxa"/>
              <w:right w:w="140" w:type="dxa"/>
            </w:tcMar>
          </w:tcPr>
          <w:p>
            <w:pPr>
              <w:spacing w:before="0" w:after="0"/>
              <w:jc w:val="left"/>
            </w:pPr>
            <w:r>
              <w:rPr>
                <w:rFonts w:ascii="Calibri" w:hAnsi="Calibri"/>
                <w:b/>
                <w:color w:val="FFFFFF"/>
                <w:sz w:val="19"/>
              </w:rPr>
              <w:t>Category</w:t>
            </w:r>
          </w:p>
        </w:tc>
        <w:tc>
          <w:tcPr>
            <w:tcW w:type="dxa" w:w="1872"/>
            <w:shd w:fill="1B365D"/>
            <w:tcMar>
              <w:top w:w="120" w:type="dxa"/>
              <w:bottom w:w="120" w:type="dxa"/>
              <w:left w:w="140" w:type="dxa"/>
              <w:right w:w="140" w:type="dxa"/>
            </w:tcMar>
          </w:tcPr>
          <w:p>
            <w:pPr>
              <w:spacing w:before="0" w:after="0"/>
              <w:jc w:val="left"/>
            </w:pPr>
            <w:r>
              <w:rPr>
                <w:rFonts w:ascii="Calibri" w:hAnsi="Calibri"/>
                <w:b/>
                <w:color w:val="FFFFFF"/>
                <w:sz w:val="19"/>
              </w:rPr>
              <w:t>Number Condition</w:t>
            </w:r>
          </w:p>
        </w:tc>
        <w:tc>
          <w:tcPr>
            <w:tcW w:type="dxa" w:w="1872"/>
            <w:shd w:fill="1B365D"/>
            <w:tcMar>
              <w:top w:w="120" w:type="dxa"/>
              <w:bottom w:w="120" w:type="dxa"/>
              <w:left w:w="140" w:type="dxa"/>
              <w:right w:w="140" w:type="dxa"/>
            </w:tcMar>
          </w:tcPr>
          <w:p>
            <w:pPr>
              <w:spacing w:before="0" w:after="0"/>
              <w:jc w:val="left"/>
            </w:pPr>
            <w:r>
              <w:rPr>
                <w:rFonts w:ascii="Calibri" w:hAnsi="Calibri"/>
                <w:b/>
                <w:color w:val="FFFFFF"/>
                <w:sz w:val="19"/>
              </w:rPr>
              <w:t>Grammatical Name</w:t>
            </w:r>
          </w:p>
        </w:tc>
        <w:tc>
          <w:tcPr>
            <w:tcW w:type="dxa" w:w="1872"/>
            <w:shd w:fill="1B365D"/>
            <w:tcMar>
              <w:top w:w="120" w:type="dxa"/>
              <w:bottom w:w="120" w:type="dxa"/>
              <w:left w:w="140" w:type="dxa"/>
              <w:right w:w="140" w:type="dxa"/>
            </w:tcMar>
          </w:tcPr>
          <w:p>
            <w:pPr>
              <w:spacing w:before="0" w:after="0"/>
              <w:jc w:val="left"/>
            </w:pPr>
            <w:r>
              <w:rPr>
                <w:rFonts w:ascii="Calibri" w:hAnsi="Calibri"/>
                <w:b/>
                <w:color w:val="FFFFFF"/>
                <w:sz w:val="19"/>
              </w:rPr>
              <w:t>Example (كتاب - Book)</w:t>
            </w:r>
          </w:p>
        </w:tc>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QuickBox Arabic String</w:t>
            </w:r>
          </w:p>
        </w:tc>
      </w:tr>
      <w:tr>
        <w:trPr>
          <w:cantSplit/>
        </w:trPr>
        <w:tc>
          <w:tcPr>
            <w:tcW w:type="dxa" w:w="1152"/>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zero</w:t>
            </w:r>
          </w:p>
        </w:tc>
        <w:tc>
          <w:tcPr>
            <w:tcW w:type="dxa" w:w="1872"/>
            <w:shd w:fill="F8FAFC"/>
            <w:tcMar>
              <w:top w:w="90" w:type="dxa"/>
              <w:bottom w:w="90" w:type="dxa"/>
              <w:left w:w="120" w:type="dxa"/>
              <w:right w:w="120" w:type="dxa"/>
            </w:tcMar>
          </w:tcPr>
          <w:p>
            <w:pPr>
              <w:spacing w:before="0" w:after="0" w:line="276" w:lineRule="auto"/>
              <w:jc w:val="left"/>
            </w:pPr>
            <w:r>
              <w:rPr>
                <w:rFonts w:ascii="Calibri" w:hAnsi="Calibri"/>
                <w:color w:val="1E293B"/>
                <w:sz w:val="18"/>
              </w:rPr>
              <w:t>n = 0</w:t>
            </w:r>
          </w:p>
        </w:tc>
        <w:tc>
          <w:tcPr>
            <w:tcW w:type="dxa" w:w="1872"/>
            <w:shd w:fill="F8FAFC"/>
            <w:tcMar>
              <w:top w:w="90" w:type="dxa"/>
              <w:bottom w:w="90" w:type="dxa"/>
              <w:left w:w="120" w:type="dxa"/>
              <w:right w:w="120" w:type="dxa"/>
            </w:tcMar>
          </w:tcPr>
          <w:p>
            <w:pPr>
              <w:spacing w:before="0" w:after="0" w:line="276" w:lineRule="auto"/>
              <w:jc w:val="left"/>
            </w:pPr>
            <w:r>
              <w:rPr>
                <w:rFonts w:ascii="Calibri" w:hAnsi="Calibri"/>
                <w:color w:val="1E293B"/>
                <w:sz w:val="18"/>
              </w:rPr>
              <w:t>Absolute Zero (صفر)</w:t>
            </w:r>
          </w:p>
        </w:tc>
        <w:tc>
          <w:tcPr>
            <w:tcW w:type="dxa" w:w="1872"/>
            <w:shd w:fill="F8FAFC"/>
            <w:tcMar>
              <w:top w:w="90" w:type="dxa"/>
              <w:bottom w:w="90" w:type="dxa"/>
              <w:left w:w="120" w:type="dxa"/>
              <w:right w:w="120" w:type="dxa"/>
            </w:tcMar>
          </w:tcPr>
          <w:p>
            <w:pPr>
              <w:spacing w:before="0" w:after="0" w:line="276" w:lineRule="auto"/>
              <w:jc w:val="left"/>
            </w:pPr>
            <w:r>
              <w:rPr>
                <w:rFonts w:ascii="Calibri" w:hAnsi="Calibri"/>
                <w:color w:val="1E293B"/>
                <w:sz w:val="18"/>
              </w:rPr>
              <w:t>لا توجد كتب</w:t>
            </w:r>
          </w:p>
        </w:tc>
        <w:tc>
          <w:tcPr>
            <w:tcW w:type="dxa" w:w="2592"/>
            <w:shd w:fill="F8FAFC"/>
            <w:tcMar>
              <w:top w:w="90" w:type="dxa"/>
              <w:bottom w:w="90" w:type="dxa"/>
              <w:left w:w="120" w:type="dxa"/>
              <w:right w:w="120" w:type="dxa"/>
            </w:tcMar>
          </w:tcPr>
          <w:p>
            <w:pPr>
              <w:spacing w:before="0" w:after="0" w:line="276" w:lineRule="auto"/>
              <w:jc w:val="left"/>
            </w:pPr>
            <w:r>
              <w:rPr>
                <w:rFonts w:ascii="Calibri" w:hAnsi="Calibri"/>
                <w:color w:val="1E293B"/>
                <w:sz w:val="18"/>
              </w:rPr>
              <w:t>لا توجد فواتير معلقة</w:t>
            </w:r>
          </w:p>
        </w:tc>
      </w:tr>
      <w:tr>
        <w:trPr>
          <w:cantSplit/>
        </w:trPr>
        <w:tc>
          <w:tcPr>
            <w:tcW w:type="dxa" w:w="1152"/>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one</w:t>
            </w:r>
          </w:p>
        </w:tc>
        <w:tc>
          <w:tcPr>
            <w:tcW w:type="dxa" w:w="1872"/>
            <w:shd w:fill="FFFFFF"/>
            <w:tcMar>
              <w:top w:w="90" w:type="dxa"/>
              <w:bottom w:w="90" w:type="dxa"/>
              <w:left w:w="120" w:type="dxa"/>
              <w:right w:w="120" w:type="dxa"/>
            </w:tcMar>
          </w:tcPr>
          <w:p>
            <w:pPr>
              <w:spacing w:before="0" w:after="0" w:line="276" w:lineRule="auto"/>
              <w:jc w:val="left"/>
            </w:pPr>
            <w:r>
              <w:rPr>
                <w:rFonts w:ascii="Calibri" w:hAnsi="Calibri"/>
                <w:color w:val="1E293B"/>
                <w:sz w:val="18"/>
              </w:rPr>
              <w:t>n = 1</w:t>
            </w:r>
          </w:p>
        </w:tc>
        <w:tc>
          <w:tcPr>
            <w:tcW w:type="dxa" w:w="1872"/>
            <w:shd w:fill="FFFFFF"/>
            <w:tcMar>
              <w:top w:w="90" w:type="dxa"/>
              <w:bottom w:w="90" w:type="dxa"/>
              <w:left w:w="120" w:type="dxa"/>
              <w:right w:w="120" w:type="dxa"/>
            </w:tcMar>
          </w:tcPr>
          <w:p>
            <w:pPr>
              <w:spacing w:before="0" w:after="0" w:line="276" w:lineRule="auto"/>
              <w:jc w:val="left"/>
            </w:pPr>
            <w:r>
              <w:rPr>
                <w:rFonts w:ascii="Calibri" w:hAnsi="Calibri"/>
                <w:color w:val="1E293B"/>
                <w:sz w:val="18"/>
              </w:rPr>
              <w:t>Singular (مفرد)</w:t>
            </w:r>
          </w:p>
        </w:tc>
        <w:tc>
          <w:tcPr>
            <w:tcW w:type="dxa" w:w="1872"/>
            <w:shd w:fill="FFFFFF"/>
            <w:tcMar>
              <w:top w:w="90" w:type="dxa"/>
              <w:bottom w:w="90" w:type="dxa"/>
              <w:left w:w="120" w:type="dxa"/>
              <w:right w:w="120" w:type="dxa"/>
            </w:tcMar>
          </w:tcPr>
          <w:p>
            <w:pPr>
              <w:spacing w:before="0" w:after="0" w:line="276" w:lineRule="auto"/>
              <w:jc w:val="left"/>
            </w:pPr>
            <w:r>
              <w:rPr>
                <w:rFonts w:ascii="Calibri" w:hAnsi="Calibri"/>
                <w:color w:val="1E293B"/>
                <w:sz w:val="18"/>
              </w:rPr>
              <w:t>كتاب واحد</w:t>
            </w:r>
          </w:p>
        </w:tc>
        <w:tc>
          <w:tcPr>
            <w:tcW w:type="dxa" w:w="2592"/>
            <w:shd w:fill="FFFFFF"/>
            <w:tcMar>
              <w:top w:w="90" w:type="dxa"/>
              <w:bottom w:w="90" w:type="dxa"/>
              <w:left w:w="120" w:type="dxa"/>
              <w:right w:w="120" w:type="dxa"/>
            </w:tcMar>
          </w:tcPr>
          <w:p>
            <w:pPr>
              <w:spacing w:before="0" w:after="0" w:line="276" w:lineRule="auto"/>
              <w:jc w:val="left"/>
            </w:pPr>
            <w:r>
              <w:rPr>
                <w:rFonts w:ascii="Calibri" w:hAnsi="Calibri"/>
                <w:color w:val="1E293B"/>
                <w:sz w:val="18"/>
              </w:rPr>
              <w:t>فاتورة واحدة معلقة</w:t>
            </w:r>
          </w:p>
        </w:tc>
      </w:tr>
      <w:tr>
        <w:trPr>
          <w:cantSplit/>
        </w:trPr>
        <w:tc>
          <w:tcPr>
            <w:tcW w:type="dxa" w:w="1152"/>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two</w:t>
            </w:r>
          </w:p>
        </w:tc>
        <w:tc>
          <w:tcPr>
            <w:tcW w:type="dxa" w:w="1872"/>
            <w:shd w:fill="F8FAFC"/>
            <w:tcMar>
              <w:top w:w="90" w:type="dxa"/>
              <w:bottom w:w="90" w:type="dxa"/>
              <w:left w:w="120" w:type="dxa"/>
              <w:right w:w="120" w:type="dxa"/>
            </w:tcMar>
          </w:tcPr>
          <w:p>
            <w:pPr>
              <w:spacing w:before="0" w:after="0" w:line="276" w:lineRule="auto"/>
              <w:jc w:val="left"/>
            </w:pPr>
            <w:r>
              <w:rPr>
                <w:rFonts w:ascii="Calibri" w:hAnsi="Calibri"/>
                <w:color w:val="1E293B"/>
                <w:sz w:val="18"/>
              </w:rPr>
              <w:t>n = 2</w:t>
            </w:r>
          </w:p>
        </w:tc>
        <w:tc>
          <w:tcPr>
            <w:tcW w:type="dxa" w:w="1872"/>
            <w:shd w:fill="F8FAFC"/>
            <w:tcMar>
              <w:top w:w="90" w:type="dxa"/>
              <w:bottom w:w="90" w:type="dxa"/>
              <w:left w:w="120" w:type="dxa"/>
              <w:right w:w="120" w:type="dxa"/>
            </w:tcMar>
          </w:tcPr>
          <w:p>
            <w:pPr>
              <w:spacing w:before="0" w:after="0" w:line="276" w:lineRule="auto"/>
              <w:jc w:val="left"/>
            </w:pPr>
            <w:r>
              <w:rPr>
                <w:rFonts w:ascii="Calibri" w:hAnsi="Calibri"/>
                <w:color w:val="1E293B"/>
                <w:sz w:val="18"/>
              </w:rPr>
              <w:t>Dual (مثنى)</w:t>
            </w:r>
          </w:p>
        </w:tc>
        <w:tc>
          <w:tcPr>
            <w:tcW w:type="dxa" w:w="1872"/>
            <w:shd w:fill="F8FAFC"/>
            <w:tcMar>
              <w:top w:w="90" w:type="dxa"/>
              <w:bottom w:w="90" w:type="dxa"/>
              <w:left w:w="120" w:type="dxa"/>
              <w:right w:w="120" w:type="dxa"/>
            </w:tcMar>
          </w:tcPr>
          <w:p>
            <w:pPr>
              <w:spacing w:before="0" w:after="0" w:line="276" w:lineRule="auto"/>
              <w:jc w:val="left"/>
            </w:pPr>
            <w:r>
              <w:rPr>
                <w:rFonts w:ascii="Calibri" w:hAnsi="Calibri"/>
                <w:color w:val="1E293B"/>
                <w:sz w:val="18"/>
              </w:rPr>
              <w:t>كتابان</w:t>
            </w:r>
          </w:p>
        </w:tc>
        <w:tc>
          <w:tcPr>
            <w:tcW w:type="dxa" w:w="2592"/>
            <w:shd w:fill="F8FAFC"/>
            <w:tcMar>
              <w:top w:w="90" w:type="dxa"/>
              <w:bottom w:w="90" w:type="dxa"/>
              <w:left w:w="120" w:type="dxa"/>
              <w:right w:w="120" w:type="dxa"/>
            </w:tcMar>
          </w:tcPr>
          <w:p>
            <w:pPr>
              <w:spacing w:before="0" w:after="0" w:line="276" w:lineRule="auto"/>
              <w:jc w:val="left"/>
            </w:pPr>
            <w:r>
              <w:rPr>
                <w:rFonts w:ascii="Calibri" w:hAnsi="Calibri"/>
                <w:color w:val="1E293B"/>
                <w:sz w:val="18"/>
              </w:rPr>
              <w:t>فاتورتان معلقتان</w:t>
            </w:r>
          </w:p>
        </w:tc>
      </w:tr>
      <w:tr>
        <w:trPr>
          <w:cantSplit/>
        </w:trPr>
        <w:tc>
          <w:tcPr>
            <w:tcW w:type="dxa" w:w="1152"/>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few</w:t>
            </w:r>
          </w:p>
        </w:tc>
        <w:tc>
          <w:tcPr>
            <w:tcW w:type="dxa" w:w="1872"/>
            <w:shd w:fill="FFFFFF"/>
            <w:tcMar>
              <w:top w:w="90" w:type="dxa"/>
              <w:bottom w:w="90" w:type="dxa"/>
              <w:left w:w="120" w:type="dxa"/>
              <w:right w:w="120" w:type="dxa"/>
            </w:tcMar>
          </w:tcPr>
          <w:p>
            <w:pPr>
              <w:spacing w:before="0" w:after="0" w:line="276" w:lineRule="auto"/>
              <w:jc w:val="left"/>
            </w:pPr>
            <w:r>
              <w:rPr>
                <w:rFonts w:ascii="Calibri" w:hAnsi="Calibri"/>
                <w:color w:val="1E293B"/>
                <w:sz w:val="18"/>
              </w:rPr>
              <w:t>n % 100 in 3..10</w:t>
            </w:r>
          </w:p>
        </w:tc>
        <w:tc>
          <w:tcPr>
            <w:tcW w:type="dxa" w:w="1872"/>
            <w:shd w:fill="FFFFFF"/>
            <w:tcMar>
              <w:top w:w="90" w:type="dxa"/>
              <w:bottom w:w="90" w:type="dxa"/>
              <w:left w:w="120" w:type="dxa"/>
              <w:right w:w="120" w:type="dxa"/>
            </w:tcMar>
          </w:tcPr>
          <w:p>
            <w:pPr>
              <w:spacing w:before="0" w:after="0" w:line="276" w:lineRule="auto"/>
              <w:jc w:val="left"/>
            </w:pPr>
            <w:r>
              <w:rPr>
                <w:rFonts w:ascii="Calibri" w:hAnsi="Calibri"/>
                <w:color w:val="1E293B"/>
                <w:sz w:val="18"/>
              </w:rPr>
              <w:t>Paucal Plural (جمع قلة)</w:t>
            </w:r>
          </w:p>
        </w:tc>
        <w:tc>
          <w:tcPr>
            <w:tcW w:type="dxa" w:w="1872"/>
            <w:shd w:fill="FFFFFF"/>
            <w:tcMar>
              <w:top w:w="90" w:type="dxa"/>
              <w:bottom w:w="90" w:type="dxa"/>
              <w:left w:w="120" w:type="dxa"/>
              <w:right w:w="120" w:type="dxa"/>
            </w:tcMar>
          </w:tcPr>
          <w:p>
            <w:pPr>
              <w:spacing w:before="0" w:after="0" w:line="276" w:lineRule="auto"/>
              <w:jc w:val="left"/>
            </w:pPr>
            <w:r>
              <w:rPr>
                <w:rFonts w:ascii="Calibri" w:hAnsi="Calibri"/>
                <w:color w:val="1E293B"/>
                <w:sz w:val="18"/>
              </w:rPr>
              <w:t>٣ كتب</w:t>
            </w:r>
          </w:p>
        </w:tc>
        <w:tc>
          <w:tcPr>
            <w:tcW w:type="dxa" w:w="2592"/>
            <w:shd w:fill="FFFFFF"/>
            <w:tcMar>
              <w:top w:w="90" w:type="dxa"/>
              <w:bottom w:w="90" w:type="dxa"/>
              <w:left w:w="120" w:type="dxa"/>
              <w:right w:w="120" w:type="dxa"/>
            </w:tcMar>
          </w:tcPr>
          <w:p>
            <w:pPr>
              <w:spacing w:before="0" w:after="0" w:line="276" w:lineRule="auto"/>
              <w:jc w:val="left"/>
            </w:pPr>
            <w:r>
              <w:rPr>
                <w:rFonts w:ascii="Calibri" w:hAnsi="Calibri"/>
                <w:color w:val="1E293B"/>
                <w:sz w:val="18"/>
              </w:rPr>
              <w:t>{{count}} فواتير معلقة</w:t>
            </w:r>
          </w:p>
        </w:tc>
      </w:tr>
      <w:tr>
        <w:trPr>
          <w:cantSplit/>
        </w:trPr>
        <w:tc>
          <w:tcPr>
            <w:tcW w:type="dxa" w:w="1152"/>
            <w:shd w:fill="F8FAFC"/>
            <w:tcMar>
              <w:top w:w="90" w:type="dxa"/>
              <w:bottom w:w="90" w:type="dxa"/>
              <w:left w:w="120" w:type="dxa"/>
              <w:right w:w="120" w:type="dxa"/>
            </w:tcMar>
          </w:tcPr>
          <w:p>
            <w:pPr>
              <w:spacing w:before="0" w:after="0" w:line="276" w:lineRule="auto"/>
              <w:jc w:val="left"/>
            </w:pPr>
            <w:r>
              <w:rPr>
                <w:rFonts w:ascii="Calibri" w:hAnsi="Calibri"/>
                <w:b/>
                <w:color w:val="1E293B"/>
                <w:sz w:val="18"/>
              </w:rPr>
              <w:t>many</w:t>
            </w:r>
          </w:p>
        </w:tc>
        <w:tc>
          <w:tcPr>
            <w:tcW w:type="dxa" w:w="1872"/>
            <w:shd w:fill="F8FAFC"/>
            <w:tcMar>
              <w:top w:w="90" w:type="dxa"/>
              <w:bottom w:w="90" w:type="dxa"/>
              <w:left w:w="120" w:type="dxa"/>
              <w:right w:w="120" w:type="dxa"/>
            </w:tcMar>
          </w:tcPr>
          <w:p>
            <w:pPr>
              <w:spacing w:before="0" w:after="0" w:line="276" w:lineRule="auto"/>
              <w:jc w:val="left"/>
            </w:pPr>
            <w:r>
              <w:rPr>
                <w:rFonts w:ascii="Calibri" w:hAnsi="Calibri"/>
                <w:color w:val="1E293B"/>
                <w:sz w:val="18"/>
              </w:rPr>
              <w:t>n % 100 in 11..99</w:t>
            </w:r>
          </w:p>
        </w:tc>
        <w:tc>
          <w:tcPr>
            <w:tcW w:type="dxa" w:w="1872"/>
            <w:shd w:fill="F8FAFC"/>
            <w:tcMar>
              <w:top w:w="90" w:type="dxa"/>
              <w:bottom w:w="90" w:type="dxa"/>
              <w:left w:w="120" w:type="dxa"/>
              <w:right w:w="120" w:type="dxa"/>
            </w:tcMar>
          </w:tcPr>
          <w:p>
            <w:pPr>
              <w:spacing w:before="0" w:after="0" w:line="276" w:lineRule="auto"/>
              <w:jc w:val="left"/>
            </w:pPr>
            <w:r>
              <w:rPr>
                <w:rFonts w:ascii="Calibri" w:hAnsi="Calibri"/>
                <w:color w:val="1E293B"/>
                <w:sz w:val="18"/>
              </w:rPr>
              <w:t>Plural Accusative (تمييز)</w:t>
            </w:r>
          </w:p>
        </w:tc>
        <w:tc>
          <w:tcPr>
            <w:tcW w:type="dxa" w:w="1872"/>
            <w:shd w:fill="F8FAFC"/>
            <w:tcMar>
              <w:top w:w="90" w:type="dxa"/>
              <w:bottom w:w="90" w:type="dxa"/>
              <w:left w:w="120" w:type="dxa"/>
              <w:right w:w="120" w:type="dxa"/>
            </w:tcMar>
          </w:tcPr>
          <w:p>
            <w:pPr>
              <w:spacing w:before="0" w:after="0" w:line="276" w:lineRule="auto"/>
              <w:jc w:val="left"/>
            </w:pPr>
            <w:r>
              <w:rPr>
                <w:rFonts w:ascii="Calibri" w:hAnsi="Calibri"/>
                <w:color w:val="1E293B"/>
                <w:sz w:val="18"/>
              </w:rPr>
              <w:t>١٥ كتاباً</w:t>
            </w:r>
          </w:p>
        </w:tc>
        <w:tc>
          <w:tcPr>
            <w:tcW w:type="dxa" w:w="2592"/>
            <w:shd w:fill="F8FAFC"/>
            <w:tcMar>
              <w:top w:w="90" w:type="dxa"/>
              <w:bottom w:w="90" w:type="dxa"/>
              <w:left w:w="120" w:type="dxa"/>
              <w:right w:w="120" w:type="dxa"/>
            </w:tcMar>
          </w:tcPr>
          <w:p>
            <w:pPr>
              <w:spacing w:before="0" w:after="0" w:line="276" w:lineRule="auto"/>
              <w:jc w:val="left"/>
            </w:pPr>
            <w:r>
              <w:rPr>
                <w:rFonts w:ascii="Calibri" w:hAnsi="Calibri"/>
                <w:color w:val="1E293B"/>
                <w:sz w:val="18"/>
              </w:rPr>
              <w:t>{{count}} فاتورة معلقة</w:t>
            </w:r>
          </w:p>
        </w:tc>
      </w:tr>
      <w:tr>
        <w:trPr>
          <w:cantSplit/>
        </w:trPr>
        <w:tc>
          <w:tcPr>
            <w:tcW w:type="dxa" w:w="1152"/>
            <w:shd w:fill="FFFFFF"/>
            <w:tcMar>
              <w:top w:w="90" w:type="dxa"/>
              <w:bottom w:w="90" w:type="dxa"/>
              <w:left w:w="120" w:type="dxa"/>
              <w:right w:w="120" w:type="dxa"/>
            </w:tcMar>
          </w:tcPr>
          <w:p>
            <w:pPr>
              <w:spacing w:before="0" w:after="0" w:line="276" w:lineRule="auto"/>
              <w:jc w:val="left"/>
            </w:pPr>
            <w:r>
              <w:rPr>
                <w:rFonts w:ascii="Calibri" w:hAnsi="Calibri"/>
                <w:b/>
                <w:color w:val="1E293B"/>
                <w:sz w:val="18"/>
              </w:rPr>
              <w:t>other</w:t>
            </w:r>
          </w:p>
        </w:tc>
        <w:tc>
          <w:tcPr>
            <w:tcW w:type="dxa" w:w="1872"/>
            <w:shd w:fill="FFFFFF"/>
            <w:tcMar>
              <w:top w:w="90" w:type="dxa"/>
              <w:bottom w:w="90" w:type="dxa"/>
              <w:left w:w="120" w:type="dxa"/>
              <w:right w:w="120" w:type="dxa"/>
            </w:tcMar>
          </w:tcPr>
          <w:p>
            <w:pPr>
              <w:spacing w:before="0" w:after="0" w:line="276" w:lineRule="auto"/>
              <w:jc w:val="left"/>
            </w:pPr>
            <w:r>
              <w:rPr>
                <w:rFonts w:ascii="Calibri" w:hAnsi="Calibri"/>
                <w:color w:val="1E293B"/>
                <w:sz w:val="18"/>
              </w:rPr>
              <w:t>100, 101, 102..., fractions</w:t>
            </w:r>
          </w:p>
        </w:tc>
        <w:tc>
          <w:tcPr>
            <w:tcW w:type="dxa" w:w="1872"/>
            <w:shd w:fill="FFFFFF"/>
            <w:tcMar>
              <w:top w:w="90" w:type="dxa"/>
              <w:bottom w:w="90" w:type="dxa"/>
              <w:left w:w="120" w:type="dxa"/>
              <w:right w:w="120" w:type="dxa"/>
            </w:tcMar>
          </w:tcPr>
          <w:p>
            <w:pPr>
              <w:spacing w:before="0" w:after="0" w:line="276" w:lineRule="auto"/>
              <w:jc w:val="left"/>
            </w:pPr>
            <w:r>
              <w:rPr>
                <w:rFonts w:ascii="Calibri" w:hAnsi="Calibri"/>
                <w:color w:val="1E293B"/>
                <w:sz w:val="18"/>
              </w:rPr>
              <w:t>General / Fractional</w:t>
            </w:r>
          </w:p>
        </w:tc>
        <w:tc>
          <w:tcPr>
            <w:tcW w:type="dxa" w:w="1872"/>
            <w:shd w:fill="FFFFFF"/>
            <w:tcMar>
              <w:top w:w="90" w:type="dxa"/>
              <w:bottom w:w="90" w:type="dxa"/>
              <w:left w:w="120" w:type="dxa"/>
              <w:right w:w="120" w:type="dxa"/>
            </w:tcMar>
          </w:tcPr>
          <w:p>
            <w:pPr>
              <w:spacing w:before="0" w:after="0" w:line="276" w:lineRule="auto"/>
              <w:jc w:val="left"/>
            </w:pPr>
            <w:r>
              <w:rPr>
                <w:rFonts w:ascii="Calibri" w:hAnsi="Calibri"/>
                <w:color w:val="1E293B"/>
                <w:sz w:val="18"/>
              </w:rPr>
              <w:t>١٠٠ كتاب</w:t>
            </w:r>
          </w:p>
        </w:tc>
        <w:tc>
          <w:tcPr>
            <w:tcW w:type="dxa" w:w="2592"/>
            <w:shd w:fill="FFFFFF"/>
            <w:tcMar>
              <w:top w:w="90" w:type="dxa"/>
              <w:bottom w:w="90" w:type="dxa"/>
              <w:left w:w="120" w:type="dxa"/>
              <w:right w:w="120" w:type="dxa"/>
            </w:tcMar>
          </w:tcPr>
          <w:p>
            <w:pPr>
              <w:spacing w:before="0" w:after="0" w:line="276" w:lineRule="auto"/>
              <w:jc w:val="left"/>
            </w:pPr>
            <w:r>
              <w:rPr>
                <w:rFonts w:ascii="Calibri" w:hAnsi="Calibri"/>
                <w:color w:val="1E293B"/>
                <w:sz w:val="18"/>
              </w:rPr>
              <w:t>{{count}} فاتورة معلقة</w:t>
            </w:r>
          </w:p>
        </w:tc>
      </w:tr>
    </w:tbl>
    <w:p>
      <w:pPr>
        <w:spacing w:before="0" w:after="120"/>
      </w:pPr>
    </w:p>
    <w:p>
      <w:pPr>
        <w:keepNext/>
        <w:spacing w:before="360" w:after="120"/>
      </w:pPr>
      <w:r>
        <w:rPr>
          <w:rFonts w:ascii="Calibri" w:hAnsi="Calibri"/>
          <w:b/>
          <w:color w:val="1B365D"/>
          <w:sz w:val="32"/>
        </w:rPr>
        <w:t>Section 4: QuickBox React Dashboard Integration Blueprint</w:t>
      </w:r>
    </w:p>
    <w:p>
      <w:pPr>
        <w:spacing w:before="0" w:after="120" w:line="276" w:lineRule="auto"/>
      </w:pPr>
      <w:r>
        <w:rPr>
          <w:rFonts w:ascii="Calibri" w:hAnsi="Calibri"/>
          <w:color w:val="1E293B"/>
          <w:sz w:val="20"/>
        </w:rPr>
        <w:t>This section delivers the turnkey implementation blueprint for the QuickBox React Dashboard (`react-dashboard`), leveraging `react-i18next` (Rank #1) and the Arabic RTL design system.</w:t>
      </w:r>
    </w:p>
    <w:p>
      <w:pPr>
        <w:keepNext/>
        <w:spacing w:before="280" w:after="80"/>
      </w:pPr>
      <w:r>
        <w:rPr>
          <w:rFonts w:ascii="Calibri" w:hAnsi="Calibri"/>
          <w:b/>
          <w:color w:val="0D8259"/>
          <w:sz w:val="26"/>
        </w:rPr>
        <w:t>4.1 Architecture Baseline &amp; Environment Audit</w:t>
      </w:r>
    </w:p>
    <w:p>
      <w:pPr>
        <w:spacing w:before="0" w:after="120" w:line="276" w:lineRule="auto"/>
      </w:pPr>
      <w:r>
        <w:rPr>
          <w:rFonts w:ascii="Calibri" w:hAnsi="Calibri"/>
          <w:color w:val="1E293B"/>
          <w:sz w:val="20"/>
        </w:rPr>
        <w:t>Audit of `package.json` and `src/` establishes the target baseline: React 19.2.7, Vite 8.1.1, React Router 7.18.2, Phosphor Icons 2.1.10, and a 1,984-line custom CSS design system. The integration requires 0 changes to build tooling and integrates cleanly with existing React Context providers.</w:t>
      </w:r>
    </w:p>
    <w:p>
      <w:pPr>
        <w:keepNext/>
        <w:spacing w:before="280" w:after="80"/>
      </w:pPr>
      <w:r>
        <w:rPr>
          <w:rFonts w:ascii="Calibri" w:hAnsi="Calibri"/>
          <w:b/>
          <w:color w:val="0D8259"/>
          <w:sz w:val="26"/>
        </w:rPr>
        <w:t>4.2 Production Blueprint 1: src/i18n.js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src/i18n.js</w:t>
              <w:br/>
            </w:r>
            <w:r>
              <w:rPr>
                <w:rFonts w:ascii="Consolas" w:hAnsi="Consolas"/>
                <w:color w:val="1E293B"/>
                <w:sz w:val="17"/>
              </w:rPr>
              <w:t>// src/i18n.js - Production Configuration</w:t>
              <w:br/>
              <w:t>import i18n from 'i18next';</w:t>
              <w:br/>
              <w:t>import { initReactI18next } from 'react-i18next';</w:t>
              <w:br/>
              <w:t>import LanguageDetector from 'i18next-browser-languagedetector';</w:t>
              <w:br/>
              <w:br/>
              <w:t>import enCommon from './locales/en/common.json';</w:t>
              <w:br/>
              <w:t>import enSidebar from './locales/en/sidebar.json';</w:t>
              <w:br/>
              <w:t>import enDashboard from './locales/en/dashboard.json';</w:t>
              <w:br/>
              <w:t>import enFinance from './locales/en/finance.json';</w:t>
              <w:br/>
              <w:br/>
              <w:t>import arCommon from './locales/ar/common.json';</w:t>
              <w:br/>
              <w:t>import arSidebar from './locales/ar/sidebar.json';</w:t>
              <w:br/>
              <w:t>import arDashboard from './locales/ar/dashboard.json';</w:t>
              <w:br/>
              <w:t>import arFinance from './locales/ar/finance.json';</w:t>
              <w:br/>
              <w:br/>
              <w:t>const resources = {</w:t>
              <w:br/>
              <w:t xml:space="preserve">  en: {</w:t>
              <w:br/>
              <w:t xml:space="preserve">    common: enCommon,</w:t>
              <w:br/>
              <w:t xml:space="preserve">    sidebar: enSidebar,</w:t>
              <w:br/>
              <w:t xml:space="preserve">    dashboard: enDashboard,</w:t>
              <w:br/>
              <w:t xml:space="preserve">    finance: enFinance,</w:t>
              <w:br/>
              <w:t xml:space="preserve">  },</w:t>
              <w:br/>
              <w:t xml:space="preserve">  ar: {</w:t>
              <w:br/>
              <w:t xml:space="preserve">    common: arCommon,</w:t>
              <w:br/>
              <w:t xml:space="preserve">    sidebar: arSidebar,</w:t>
              <w:br/>
              <w:t xml:space="preserve">    dashboard: arDashboard,</w:t>
              <w:br/>
              <w:t xml:space="preserve">    finance: arFinance,</w:t>
              <w:br/>
              <w:t xml:space="preserve">  },</w:t>
              <w:br/>
              <w:t>};</w:t>
              <w:br/>
              <w:br/>
              <w:t>i18n</w:t>
              <w:br/>
              <w:t xml:space="preserve">  .use(LanguageDetector)</w:t>
              <w:br/>
              <w:t xml:space="preserve">  .use(initReactI18next)</w:t>
              <w:br/>
              <w:t xml:space="preserve">  .init({</w:t>
              <w:br/>
              <w:t xml:space="preserve">    resources,</w:t>
              <w:br/>
              <w:t xml:space="preserve">    fallbackLng: 'en',</w:t>
              <w:br/>
              <w:t xml:space="preserve">    defaultNS: 'common',</w:t>
              <w:br/>
              <w:t xml:space="preserve">    detection: {</w:t>
              <w:br/>
              <w:t xml:space="preserve">      order: ['localStorage', 'navigator'],</w:t>
              <w:br/>
              <w:t xml:space="preserve">      lookupLocalStorage: 'quickbox_lang',</w:t>
              <w:br/>
              <w:t xml:space="preserve">      caches: ['localStorage'],</w:t>
              <w:br/>
              <w:t xml:space="preserve">    },</w:t>
              <w:br/>
              <w:t xml:space="preserve">    interpolation: {</w:t>
              <w:br/>
              <w:t xml:space="preserve">      escapeValue: false,</w:t>
              <w:br/>
              <w:t xml:space="preserve">    },</w:t>
              <w:br/>
              <w:t xml:space="preserve">    react: {</w:t>
              <w:br/>
              <w:t xml:space="preserve">      useSuspense: false,</w:t>
              <w:br/>
              <w:t xml:space="preserve">    },</w:t>
              <w:br/>
              <w:t xml:space="preserve">  });</w:t>
              <w:br/>
              <w:br/>
              <w:t>// Synchronize HTML root attributes dynamically</w:t>
              <w:br/>
              <w:t>i18n.on('languageChanged', (lng) =&gt; {</w:t>
              <w:br/>
              <w:t xml:space="preserve">  const dir = lng === 'ar' ? 'rtl' : 'ltr';</w:t>
              <w:br/>
              <w:t xml:space="preserve">  document.documentElement.dir = dir;</w:t>
              <w:br/>
              <w:t xml:space="preserve">  document.documentElement.lang = lng;</w:t>
              <w:br/>
              <w:t xml:space="preserve">  document.body.dir = dir;</w:t>
              <w:br/>
              <w:t>});</w:t>
              <w:br/>
              <w:br/>
              <w:t>// Initialize document direction on initial load</w:t>
              <w:br/>
              <w:t>const initialLang = i18n.language || 'en';</w:t>
              <w:br/>
              <w:t>document.documentElement.dir = initialLang === 'ar' ? 'rtl' : 'ltr';</w:t>
              <w:br/>
              <w:t>document.documentElement.lang = initialLang;</w:t>
              <w:br/>
              <w:t>document.body.dir = initialLang === 'ar' ? 'rtl' : 'ltr';</w:t>
              <w:br/>
              <w:br/>
              <w:t>export default i18n;</w:t>
            </w:r>
          </w:p>
        </w:tc>
      </w:tr>
    </w:tbl>
    <w:p>
      <w:pPr>
        <w:spacing w:before="0" w:after="80"/>
      </w:pPr>
    </w:p>
    <w:p>
      <w:pPr>
        <w:keepNext/>
        <w:spacing w:before="280" w:after="80"/>
      </w:pPr>
      <w:r>
        <w:rPr>
          <w:rFonts w:ascii="Calibri" w:hAnsi="Calibri"/>
          <w:b/>
          <w:color w:val="0D8259"/>
          <w:sz w:val="26"/>
        </w:rPr>
        <w:t>4.3 Production Blueprint 2: Entry Point &amp; Language Switcher Component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src/main.jsx</w:t>
              <w:br/>
            </w:r>
            <w:r>
              <w:rPr>
                <w:rFonts w:ascii="Consolas" w:hAnsi="Consolas"/>
                <w:color w:val="1E293B"/>
                <w:sz w:val="17"/>
              </w:rPr>
              <w:t>// src/main.jsx</w:t>
              <w:br/>
              <w:t>import { StrictMode } from 'react';</w:t>
              <w:br/>
              <w:t>import { createRoot } from 'react-dom/client';</w:t>
              <w:br/>
              <w:t>import './i18n'; // Initializes i18n and root direction before App renders</w:t>
              <w:br/>
              <w:t>import App from './App.jsx';</w:t>
              <w:br/>
              <w:t>import './index.css';</w:t>
              <w:br/>
              <w:br/>
              <w:t>createRoot(document.getElementById('root')).render(</w:t>
              <w:br/>
              <w:t xml:space="preserve">  &lt;StrictMode&gt;</w:t>
              <w:br/>
              <w:t xml:space="preserve">    &lt;App /&gt;</w:t>
              <w:br/>
              <w:t xml:space="preserve">  &lt;/StrictMode&gt;,</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src/components/LanguageSwitcher.jsx</w:t>
              <w:br/>
            </w:r>
            <w:r>
              <w:rPr>
                <w:rFonts w:ascii="Consolas" w:hAnsi="Consolas"/>
                <w:color w:val="1E293B"/>
                <w:sz w:val="17"/>
              </w:rPr>
              <w:t>// src/components/LanguageSwitcher.jsx</w:t>
              <w:br/>
              <w:t>import React from 'react';</w:t>
              <w:br/>
              <w:t>import { useTranslation } from 'react-i18next';</w:t>
              <w:br/>
              <w:t>import { Globe } from '@phosphor-icons/react';</w:t>
              <w:br/>
              <w:br/>
              <w:t>export function LanguageSwitcher() {</w:t>
              <w:br/>
              <w:t xml:space="preserve">  const { i18n } = useTranslation();</w:t>
              <w:br/>
              <w:t xml:space="preserve">  const currentLang = i18n.language === 'ar' ? 'ar' : 'en';</w:t>
              <w:br/>
              <w:br/>
              <w:t xml:space="preserve">  const toggleLanguage = () =&gt; {</w:t>
              <w:br/>
              <w:t xml:space="preserve">    const nextLang = currentLang === 'en' ? 'ar' : 'en';</w:t>
              <w:br/>
              <w:t xml:space="preserve">    i18n.changeLanguage(nextLang);</w:t>
              <w:br/>
              <w:t xml:space="preserve">  };</w:t>
              <w:br/>
              <w:br/>
              <w:t xml:space="preserve">  return (</w:t>
              <w:br/>
              <w:t xml:space="preserve">    &lt;button</w:t>
              <w:br/>
              <w:t xml:space="preserve">      className="lang-toggle-btn"</w:t>
              <w:br/>
              <w:t xml:space="preserve">      onClick={toggleLanguage}</w:t>
              <w:br/>
              <w:t xml:space="preserve">      title={currentLang === 'en' ? 'التبديل إلى العربية' : 'Switch to English'}</w:t>
              <w:br/>
              <w:t xml:space="preserve">      style={{</w:t>
              <w:br/>
              <w:t xml:space="preserve">        display: 'flex',</w:t>
              <w:br/>
              <w:t xml:space="preserve">        alignItems: 'center',</w:t>
              <w:br/>
              <w:t xml:space="preserve">        gap: '6px',</w:t>
              <w:br/>
              <w:t xml:space="preserve">        padding: '5px 12px',</w:t>
              <w:br/>
              <w:t xml:space="preserve">        borderRadius: '20px',</w:t>
              <w:br/>
              <w:t xml:space="preserve">        border: '1px solid var(--border-color)',</w:t>
              <w:br/>
              <w:t xml:space="preserve">        background: 'transparent',</w:t>
              <w:br/>
              <w:t xml:space="preserve">        cursor: 'pointer',</w:t>
              <w:br/>
              <w:t xml:space="preserve">        fontSize: '11px',</w:t>
              <w:br/>
              <w:t xml:space="preserve">        fontWeight: 600,</w:t>
              <w:br/>
              <w:t xml:space="preserve">        color: 'var(--text-main)',</w:t>
              <w:br/>
              <w:t xml:space="preserve">        transition: 'all var(--transition-fast)'</w:t>
              <w:br/>
              <w:t xml:space="preserve">      }}</w:t>
              <w:br/>
              <w:t xml:space="preserve">    &gt;</w:t>
              <w:br/>
              <w:t xml:space="preserve">      &lt;Globe size={14} color="var(--primary-green)" /&gt;</w:t>
              <w:br/>
              <w:t xml:space="preserve">      &lt;span&gt;{currentLang === 'en' ? 'العربية' : 'English'}&lt;/span&gt;</w:t>
              <w:br/>
              <w:t xml:space="preserve">    &lt;/button&gt;</w:t>
              <w:br/>
              <w:t xml:space="preserve">  );</w:t>
              <w:br/>
              <w:t>}</w:t>
            </w:r>
          </w:p>
        </w:tc>
      </w:tr>
    </w:tbl>
    <w:p>
      <w:pPr>
        <w:spacing w:before="0" w:after="80"/>
      </w:pPr>
    </w:p>
    <w:p>
      <w:pPr>
        <w:keepNext/>
        <w:spacing w:before="280" w:after="80"/>
      </w:pPr>
      <w:r>
        <w:rPr>
          <w:rFonts w:ascii="Calibri" w:hAnsi="Calibri"/>
          <w:b/>
          <w:color w:val="0D8259"/>
          <w:sz w:val="26"/>
        </w:rPr>
        <w:t>4.4 Production Blueprint 3: Bilingual Translation Dictionaries with Jordanian Financial Terminology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src/locales/en/sidebar.json</w:t>
              <w:br/>
            </w:r>
            <w:r>
              <w:rPr>
                <w:rFonts w:ascii="Consolas" w:hAnsi="Consolas"/>
                <w:color w:val="1E293B"/>
                <w:sz w:val="17"/>
              </w:rPr>
              <w:t>// src/locales/en/sidebar.json</w:t>
              <w:br/>
              <w:t>{</w:t>
              <w:br/>
              <w:t xml:space="preserve">  "inventory_control": "Inventory Control",</w:t>
              <w:br/>
              <w:t xml:space="preserve">  "home": "Home",</w:t>
              <w:br/>
              <w:t xml:space="preserve">  "dashboard": "Dashboard",</w:t>
              <w:br/>
              <w:t xml:space="preserve">  "inventory_master": "Inventory Master",</w:t>
              <w:br/>
              <w:t xml:space="preserve">  "stock_operations": "Stock Operations",</w:t>
              <w:br/>
              <w:t xml:space="preserve">  "audit_logs": "Audit Logs",</w:t>
              <w:br/>
              <w:t xml:space="preserve">  "rop_alerts": "ROP Alerts",</w:t>
              <w:br/>
              <w:t xml:space="preserve">  "reports": "Reports",</w:t>
              <w:br/>
              <w:t xml:space="preserve">  "financial_management": "Financial Management",</w:t>
              <w:br/>
              <w:t xml:space="preserve">  "business_plan": "Business Plan &amp; Budgeting",</w:t>
              <w:br/>
              <w:t xml:space="preserve">  "account_reconcile": "Account Reconciliation",</w:t>
              <w:br/>
              <w:t xml:space="preserve">  "account_mgmt": "Chart of Accounts &amp; General Ledger",</w:t>
              <w:br/>
              <w:t xml:space="preserve">  "internal_controls": "Internal Controls &amp; Approvals",</w:t>
              <w:br/>
              <w:t xml:space="preserve">  "tender_auditing": "Tender &amp; Bid Auditing",</w:t>
              <w:br/>
              <w:t xml:space="preserve">  "cash_flow": "Cash Flow Management",</w:t>
              <w:br/>
              <w:t xml:space="preserve">  "payroll_taxes": "Payroll, Social Security &amp; Tax",</w:t>
              <w:br/>
              <w:t xml:space="preserve">  "fixed_assets": "Fixed Assets &amp; Depreciation",</w:t>
              <w:br/>
              <w:t xml:space="preserve">  "accounts_payable": "Accounts Payable &amp; 3-Way Matching",</w:t>
              <w:br/>
              <w:t xml:space="preserve">  "reporting_concepts": "Financial Statements",</w:t>
              <w:br/>
              <w:t xml:space="preserve">  "corporate_policies": "Corporate Financial Policies",</w:t>
              <w:br/>
              <w:t xml:space="preserve">  "settings": "Settings"</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src/locales/ar/sidebar.json</w:t>
              <w:br/>
            </w:r>
            <w:r>
              <w:rPr>
                <w:rFonts w:ascii="Consolas" w:hAnsi="Consolas"/>
                <w:color w:val="1E293B"/>
                <w:sz w:val="17"/>
              </w:rPr>
              <w:t>// src/locales/ar/sidebar.json (Jordanian Standard Accounting Terms)</w:t>
              <w:br/>
              <w:t>{</w:t>
              <w:br/>
              <w:t xml:space="preserve">  "inventory_control": "إدارة المخزون المستودعي",</w:t>
              <w:br/>
              <w:t xml:space="preserve">  "home": "الرئيسية",</w:t>
              <w:br/>
              <w:t xml:space="preserve">  "dashboard": "لوحة المؤشرات العامة",</w:t>
              <w:br/>
              <w:t xml:space="preserve">  "inventory_master": "سجل المخزون العام",</w:t>
              <w:br/>
              <w:t xml:space="preserve">  "stock_operations": "حركات المستودع والتحويلات",</w:t>
              <w:br/>
              <w:t xml:space="preserve">  "audit_logs": "سجلات التدقيق الداخلي",</w:t>
              <w:br/>
              <w:t xml:space="preserve">  "rop_alerts": "تنبيهات نقطة إعادة الطلب",</w:t>
              <w:br/>
              <w:t xml:space="preserve">  "reports": "التقارير المالية والتشغيلية",</w:t>
              <w:br/>
              <w:t xml:space="preserve">  "financial_management": "الإدارة المالية والمحاسبية",</w:t>
              <w:br/>
              <w:t xml:space="preserve">  "business_plan": "خطة العمل والموازنات التقديرية",</w:t>
              <w:br/>
              <w:t xml:space="preserve">  "account_reconcile": "التسويات البنكية والمطابقات",</w:t>
              <w:br/>
              <w:t xml:space="preserve">  "account_mgmt": "شجرة الحسابات ودفتر الأستاذ العام",</w:t>
              <w:br/>
              <w:t xml:space="preserve">  "internal_controls": "الرقابة الداخلية والصلاحيات",</w:t>
              <w:br/>
              <w:t xml:space="preserve">  "tender_auditing": "تدقيق العطاءات واستدراج العروض",</w:t>
              <w:br/>
              <w:t xml:space="preserve">  "cash_flow": "إدارة التدفقات النقدية والسيولة",</w:t>
              <w:br/>
              <w:t xml:space="preserve">  "payroll_taxes": "الرواتب والضمان الاجتماعي والضرائب",</w:t>
              <w:br/>
              <w:t xml:space="preserve">  "fixed_assets": "سجل الأصول الثابتة ومجمع الإهلاك",</w:t>
              <w:br/>
              <w:t xml:space="preserve">  "accounts_payable": "الذمم الدائنة والمطابقة الثلاثية",</w:t>
              <w:br/>
              <w:t xml:space="preserve">  "reporting_concepts": "القوائم المالية والختامية",</w:t>
              <w:br/>
              <w:t xml:space="preserve">  "corporate_policies": "السياسات واللوائح المالية",</w:t>
              <w:br/>
              <w:t xml:space="preserve">  "settings": "إعدادات النظام"</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src/locales/ar/finance.json</w:t>
              <w:br/>
            </w:r>
            <w:r>
              <w:rPr>
                <w:rFonts w:ascii="Consolas" w:hAnsi="Consolas"/>
                <w:color w:val="1E293B"/>
                <w:sz w:val="17"/>
              </w:rPr>
              <w:t>// src/locales/ar/finance.json (Jordanian Financial &amp; Regulatory Vocabulary)</w:t>
              <w:br/>
              <w:t>{</w:t>
              <w:br/>
              <w:t xml:space="preserve">  "general_ledger": "دفتر الأستاذ العام",</w:t>
              <w:br/>
              <w:t xml:space="preserve">  "trial_balance": "ميزان المراجعة",</w:t>
              <w:br/>
              <w:t xml:space="preserve">  "income_tax": "ضريبة الدخل الأردنية",</w:t>
              <w:br/>
              <w:t xml:space="preserve">  "sales_tax": "ضريبة المبيعات العامة",</w:t>
              <w:br/>
              <w:t xml:space="preserve">  "social_security": "المؤسسة العامة للضمان الاجتماعي",</w:t>
              <w:br/>
              <w:t xml:space="preserve">  "three_way_matching": "المطابقة الثلاثية (أمر شراء / استلام / فاتورة)",</w:t>
              <w:br/>
              <w:t xml:space="preserve">  "chart_of_accounts": "دليل الحسابات الموحد",</w:t>
              <w:br/>
              <w:t xml:space="preserve">  "journal_entry": "سند قيد يومية",</w:t>
              <w:br/>
              <w:t xml:space="preserve">  "debit": "مدين",</w:t>
              <w:br/>
              <w:t xml:space="preserve">  "credit": "دائن",</w:t>
              <w:br/>
              <w:t xml:space="preserve">  "balance": "الرصيد المتاح",</w:t>
              <w:br/>
              <w:t xml:space="preserve">  "cost_center": "مركز التكلفة",</w:t>
              <w:br/>
              <w:t xml:space="preserve">  "depreciation": "مجمع الإهلاك المتراكم",</w:t>
              <w:br/>
              <w:t xml:space="preserve">  "cash_inflow": "إجمالي التدفقات النقدية الداخلة",</w:t>
              <w:br/>
              <w:t xml:space="preserve">  "cash_outflow": "إجمالي التدفقات النقدية الخارجة",</w:t>
              <w:br/>
              <w:t xml:space="preserve">  "currency_jod": "دينار أردني"</w:t>
              <w:br/>
              <w:t>}</w:t>
            </w:r>
          </w:p>
        </w:tc>
      </w:tr>
    </w:tbl>
    <w:p>
      <w:pPr>
        <w:spacing w:before="0" w:after="80"/>
      </w:pPr>
    </w:p>
    <w:p>
      <w:pPr>
        <w:keepNext/>
        <w:spacing w:before="280" w:after="80"/>
      </w:pPr>
      <w:r>
        <w:rPr>
          <w:rFonts w:ascii="Calibri" w:hAnsi="Calibri"/>
          <w:b/>
          <w:color w:val="0D8259"/>
          <w:sz w:val="26"/>
        </w:rPr>
        <w:t>4.5 Production Blueprint 4: App.css RTL Overrides &amp; Logical Properties Migration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6" w:space="0" w:color="CBD5E1"/>
              <w:left w:val="single" w:sz="18" w:space="0" w:color="1B365D"/>
              <w:bottom w:val="single" w:sz="6" w:space="0" w:color="CBD5E1"/>
              <w:right w:val="single" w:sz="6" w:space="0" w:color="CBD5E1"/>
            </w:tcBorders>
          </w:tcPr>
          <w:p>
            <w:pPr>
              <w:spacing w:before="0" w:after="40" w:line="252" w:lineRule="auto"/>
            </w:pPr>
            <w:r>
              <w:rPr>
                <w:rFonts w:ascii="Consolas" w:hAnsi="Consolas"/>
                <w:b/>
                <w:color w:val="1B365D"/>
                <w:sz w:val="17"/>
              </w:rPr>
              <w:t>// FILE / SPEC: App.css Refactoring</w:t>
              <w:br/>
            </w:r>
            <w:r>
              <w:rPr>
                <w:rFonts w:ascii="Consolas" w:hAnsi="Consolas"/>
                <w:color w:val="1E293B"/>
                <w:sz w:val="17"/>
              </w:rPr>
              <w:t>/* ==========================================================================</w:t>
              <w:br/>
              <w:t xml:space="preserve">   QuickBox App.css - RTL &amp; Logical Properties Adaptation</w:t>
              <w:br/>
              <w:t xml:space="preserve">   ========================================================================== */</w:t>
              <w:br/>
              <w:br/>
              <w:t>/* 1. Sidebar Border and Flow */</w:t>
              <w:br/>
              <w:t>.sidebar {</w:t>
              <w:br/>
              <w:t xml:space="preserve">  border-inline-end: 1px solid var(--border-color); /* Flips to left border in RTL */</w:t>
              <w:br/>
              <w:t>}</w:t>
              <w:br/>
              <w:br/>
              <w:t>/* 2. Active Nav Indicator */</w:t>
              <w:br/>
              <w:t>.nav-item-top.active {</w:t>
              <w:br/>
              <w:t xml:space="preserve">  border-inline-start: 4px solid var(--primary-green); /* Flips to right border in RTL */</w:t>
              <w:br/>
              <w:t>}</w:t>
              <w:br/>
              <w:br/>
              <w:t>[dir="rtl"] .nav-item.active {</w:t>
              <w:br/>
              <w:t xml:space="preserve">  box-shadow: inset -3px 0 0 var(--primary-green);</w:t>
              <w:br/>
              <w:t>}</w:t>
              <w:br/>
              <w:br/>
              <w:t>[dir="rtl"] .nav-item:hover {</w:t>
              <w:br/>
              <w:t xml:space="preserve">  transform: translateX(-2px);</w:t>
              <w:br/>
              <w:t>}</w:t>
              <w:br/>
              <w:br/>
              <w:t>/* 3. Main Content Container */</w:t>
              <w:br/>
              <w:t>.main-content {</w:t>
              <w:br/>
              <w:t xml:space="preserve">  border-start-start-radius: var(--radius-xl);</w:t>
              <w:br/>
              <w:t xml:space="preserve">  border-end-start-radius: var(--radius-xl);</w:t>
              <w:br/>
              <w:t>}</w:t>
              <w:br/>
              <w:br/>
              <w:t>[dir="rtl"] .main-content {</w:t>
              <w:br/>
              <w:t xml:space="preserve">  margin: 6px 0 6px 6px;</w:t>
              <w:br/>
              <w:t>}</w:t>
              <w:br/>
              <w:br/>
              <w:t>/* 4. Table Text Alignment */</w:t>
              <w:br/>
              <w:t>table, th, td {</w:t>
              <w:br/>
              <w:t xml:space="preserve">  text-align: start; /* Aligns right in Arabic, left in English */</w:t>
              <w:br/>
              <w:t>}</w:t>
              <w:br/>
              <w:br/>
              <w:t>th:first-child, td:first-child {</w:t>
              <w:br/>
              <w:t xml:space="preserve">  padding-inline-start: 10px;</w:t>
              <w:br/>
              <w:t>}</w:t>
              <w:br/>
              <w:br/>
              <w:t>th:last-child, td:last-child {</w:t>
              <w:br/>
              <w:t xml:space="preserve">  padding-inline-end: 10px;</w:t>
              <w:br/>
              <w:t>}</w:t>
              <w:br/>
              <w:br/>
              <w:t>/* 5. User Dropdown Spacing */</w:t>
              <w:br/>
              <w:t>.user-dropdown {</w:t>
              <w:br/>
              <w:t xml:space="preserve">  margin-inline-start: 6px;</w:t>
              <w:br/>
              <w:t>}</w:t>
            </w:r>
          </w:p>
        </w:tc>
      </w:tr>
    </w:tbl>
    <w:p>
      <w:pPr>
        <w:spacing w:before="0" w:after="80"/>
      </w:pPr>
    </w:p>
    <w:p>
      <w:pPr>
        <w:keepNext/>
        <w:spacing w:before="280" w:after="80"/>
      </w:pPr>
      <w:r>
        <w:rPr>
          <w:rFonts w:ascii="Calibri" w:hAnsi="Calibri"/>
          <w:b/>
          <w:color w:val="0D8259"/>
          <w:sz w:val="26"/>
        </w:rPr>
        <w:t>4.6 Complete Verification &amp; Migration Roadmap</w:t>
      </w:r>
    </w:p>
    <w:p>
      <w:pPr>
        <w:spacing w:before="0" w:after="120" w:line="276" w:lineRule="auto"/>
      </w:pPr>
      <w:r>
        <w:rPr>
          <w:rFonts w:ascii="Calibri" w:hAnsi="Calibri"/>
          <w:color w:val="1E293B"/>
          <w:sz w:val="20"/>
        </w:rPr>
        <w:t>The complete rollout plan is structured into five sequential phases:</w:t>
      </w:r>
    </w:p>
    <w:p>
      <w:pPr>
        <w:pStyle w:val="ListBullet"/>
        <w:spacing w:before="0" w:after="60" w:line="276" w:lineRule="auto"/>
      </w:pPr>
      <w:r>
        <w:rPr>
          <w:rFonts w:ascii="Calibri" w:hAnsi="Calibri"/>
          <w:b/>
          <w:color w:val="1E293B"/>
          <w:sz w:val="20"/>
        </w:rPr>
        <w:t xml:space="preserve">Phase 1: Dependencies &amp; Initialization — </w:t>
      </w:r>
      <w:r>
        <w:rPr>
          <w:rFonts w:ascii="Calibri" w:hAnsi="Calibri"/>
          <w:color w:val="1E293B"/>
          <w:sz w:val="20"/>
        </w:rPr>
        <w:t xml:space="preserve"> Install i18next, react-i18next, i18next-browser-languagedetector. Create src/i18n.js and import into src/main.jsx.</w:t>
      </w:r>
    </w:p>
    <w:p>
      <w:pPr>
        <w:pStyle w:val="ListBullet"/>
        <w:spacing w:before="0" w:after="60" w:line="276" w:lineRule="auto"/>
      </w:pPr>
      <w:r>
        <w:rPr>
          <w:rFonts w:ascii="Calibri" w:hAnsi="Calibri"/>
          <w:b/>
          <w:color w:val="1E293B"/>
          <w:sz w:val="20"/>
        </w:rPr>
        <w:t xml:space="preserve">Phase 2: CSS Architecture &amp; RTL Polish — </w:t>
      </w:r>
      <w:r>
        <w:rPr>
          <w:rFonts w:ascii="Calibri" w:hAnsi="Calibri"/>
          <w:color w:val="1E293B"/>
          <w:sz w:val="20"/>
        </w:rPr>
        <w:t xml:space="preserve"> Import Google Fonts 'Cairo' alongside 'Inter'. Update App.css with --font-sans dynamic token. Migrate 13 physical CSS declarations to CSS Logical Properties. Add .rtl-flip transform class.</w:t>
      </w:r>
    </w:p>
    <w:p>
      <w:pPr>
        <w:pStyle w:val="ListBullet"/>
        <w:spacing w:before="0" w:after="60" w:line="276" w:lineRule="auto"/>
      </w:pPr>
      <w:r>
        <w:rPr>
          <w:rFonts w:ascii="Calibri" w:hAnsi="Calibri"/>
          <w:b/>
          <w:color w:val="1E293B"/>
          <w:sz w:val="20"/>
        </w:rPr>
        <w:t xml:space="preserve">Phase 3: Component &amp; Navigation Integration — </w:t>
      </w:r>
      <w:r>
        <w:rPr>
          <w:rFonts w:ascii="Calibri" w:hAnsi="Calibri"/>
          <w:color w:val="1E293B"/>
          <w:sz w:val="20"/>
        </w:rPr>
        <w:t xml:space="preserve"> Mount LanguageSwitcher component in Topbar.jsx. Refactor Sidebar.jsx to consume useTranslation('sidebar'). Wrap pagination carets with RTLIcon.</w:t>
      </w:r>
    </w:p>
    <w:p>
      <w:pPr>
        <w:pStyle w:val="ListBullet"/>
        <w:spacing w:before="0" w:after="60" w:line="276" w:lineRule="auto"/>
      </w:pPr>
      <w:r>
        <w:rPr>
          <w:rFonts w:ascii="Calibri" w:hAnsi="Calibri"/>
          <w:b/>
          <w:color w:val="1E293B"/>
          <w:sz w:val="20"/>
        </w:rPr>
        <w:t xml:space="preserve">Phase 4: Domain Translation Bundles — </w:t>
      </w:r>
      <w:r>
        <w:rPr>
          <w:rFonts w:ascii="Calibri" w:hAnsi="Calibri"/>
          <w:color w:val="1E293B"/>
          <w:sz w:val="20"/>
        </w:rPr>
        <w:t xml:space="preserve"> Create src/locales/en/ and src/locales/ar/ bundles for common, sidebar, inventory, and finance modules with 6-form CLDR plurals.</w:t>
      </w:r>
    </w:p>
    <w:p>
      <w:pPr>
        <w:pStyle w:val="ListBullet"/>
        <w:spacing w:before="0" w:after="60" w:line="276" w:lineRule="auto"/>
      </w:pPr>
      <w:r>
        <w:rPr>
          <w:rFonts w:ascii="Calibri" w:hAnsi="Calibri"/>
          <w:b/>
          <w:color w:val="1E293B"/>
          <w:sz w:val="20"/>
        </w:rPr>
        <w:t xml:space="preserve">Phase 5: Automated Verification &amp; Quality Assurance — </w:t>
      </w:r>
      <w:r>
        <w:rPr>
          <w:rFonts w:ascii="Calibri" w:hAnsi="Calibri"/>
          <w:color w:val="1E293B"/>
          <w:sz w:val="20"/>
        </w:rPr>
        <w:t xml:space="preserve"> Execute npm run build (0 errors). Verify dynamic LTR&lt;-&gt;RTL switching without reload. Verify number isolation in financial tables across Chrome, Edge, Safari, and Firefox.</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64748B"/>
        <w:sz w:val="17"/>
      </w:rPr>
      <w:t>CONFIDENTIAL &amp; PROPRIETARY — QUICKBOX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QuickBox Enterprise Architecture Specification | React i18n &amp; Arabic RTL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