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quickbox-financial-management-system"/>
    <w:p>
      <w:pPr>
        <w:pStyle w:val="Heading1"/>
      </w:pPr>
      <w:r>
        <w:t xml:space="preserve">QUICKBOX FINANCIAL MANAGEMENT SYSTEM</w:t>
      </w:r>
    </w:p>
    <w:bookmarkStart w:id="9" w:name="Xcb13455fdbc7f1b80d05ef23d694ffb909b1c1b"/>
    <w:p>
      <w:pPr>
        <w:pStyle w:val="Heading2"/>
      </w:pPr>
      <w:r>
        <w:t xml:space="preserve">Architectural Research, Feature Requirements &amp; Implementation Roadmap</w:t>
      </w:r>
    </w:p>
    <w:p>
      <w:pPr>
        <w:pStyle w:val="FirstParagraph"/>
      </w:pPr>
      <w:r>
        <w:rPr>
          <w:b/>
          <w:bCs/>
        </w:rPr>
        <w:t xml:space="preserve">Project Phase:</w:t>
      </w:r>
      <w:r>
        <w:t xml:space="preserve"> </w:t>
      </w:r>
      <w:r>
        <w:t xml:space="preserve">Phase 2 — Financial System Specification &amp; Standalone Architecture</w:t>
      </w:r>
      <w:r>
        <w:br/>
      </w:r>
      <w:r>
        <w:rPr>
          <w:b/>
          <w:bCs/>
        </w:rPr>
        <w:t xml:space="preserve">Target Domain:</w:t>
      </w:r>
      <w:r>
        <w:t xml:space="preserve"> </w:t>
      </w:r>
      <w:r>
        <w:t xml:space="preserve">Corporate Accounting, General Ledger, AP/AR, Payroll, Tax &amp; Financial Reporting</w:t>
      </w:r>
      <w:r>
        <w:br/>
      </w:r>
      <w:r>
        <w:rPr>
          <w:b/>
          <w:bCs/>
        </w:rPr>
        <w:t xml:space="preserve">Frontend Basis:</w:t>
      </w:r>
      <w:r>
        <w:t xml:space="preserve"> </w:t>
      </w:r>
      <w:r>
        <w:t xml:space="preserve">QuickBox React Dashboard (Vite + React 19 + Phosphor Icons)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establishes the technical research, functional requirements, and standalone frontend architecture for the</w:t>
      </w:r>
      <w:r>
        <w:t xml:space="preserve"> </w:t>
      </w:r>
      <w:r>
        <w:rPr>
          <w:b/>
          <w:bCs/>
        </w:rPr>
        <w:t xml:space="preserve">QuickBox Financial Management System (QFMS)</w:t>
      </w:r>
      <w:r>
        <w:t xml:space="preserve">.</w:t>
      </w:r>
    </w:p>
    <w:p>
      <w:pPr>
        <w:pStyle w:val="BodyText"/>
      </w:pPr>
      <w:r>
        <w:t xml:space="preserve">Designed as a high-density, professional financial workstation, QuickBox provides comprehensive enterprise accounting capabilities—including General Ledger (GL) management, strict Double-Entry Journal Postings, Accounts Receivable (AR) with multi-line invoicing and aging analysis, Accounts Payable (AP) with vendor bill tracking and three-way matching, Multi-tier Payroll Processing with statutory tax withholdings and Wage Protection System (WPS) compliance, Fixed Asset Depreciation modeling, Treasury and Bank Reconciliation, and real-time generation of statutory Financial Statements (Balance Sheet, Profit &amp; Loss / Income Statement, Statement of Cash Flows, and Trial Balance).</w:t>
      </w:r>
    </w:p>
    <w:p>
      <w:pPr>
        <w:pStyle w:val="BodyText"/>
      </w:pPr>
      <w:r>
        <w:t xml:space="preserve">The frontend operates as a</w:t>
      </w:r>
      <w:r>
        <w:t xml:space="preserve"> </w:t>
      </w:r>
      <w:r>
        <w:rPr>
          <w:b/>
          <w:bCs/>
        </w:rPr>
        <w:t xml:space="preserve">strictly standalone web application</w:t>
      </w:r>
      <w:r>
        <w:t xml:space="preserve"> </w:t>
      </w:r>
      <w:r>
        <w:t xml:space="preserve">with zero dependencies on external inventory data models, providing dedicated state stores, mock financial datasets, and robust fiscal validation.</w:t>
      </w:r>
    </w:p>
    <w:p>
      <w:r>
        <w:pict>
          <v:rect style="width:0;height:1.5pt" o:hralign="center" o:hrstd="t" o:hr="t"/>
        </w:pict>
      </w:r>
    </w:p>
    <w:bookmarkEnd w:id="10"/>
    <w:bookmarkStart w:id="14" w:name="frontend-ui-transformation-mapping"/>
    <w:p>
      <w:pPr>
        <w:pStyle w:val="Heading2"/>
      </w:pPr>
      <w:r>
        <w:t xml:space="preserve">2. Frontend UI Transformation Mapping</w:t>
      </w:r>
    </w:p>
    <w:p>
      <w:pPr>
        <w:pStyle w:val="FirstParagraph"/>
      </w:pPr>
      <w:r>
        <w:t xml:space="preserve">To maintain high visual density and ergonomic workflow familiarity, the core React dashboard layout is directly mapped to corporate financial accounting operations.</w:t>
      </w:r>
    </w:p>
    <w:bookmarkStart w:id="11" w:name="Xaffbf870b1966520607298453e9fdb2f60e312b"/>
    <w:p>
      <w:pPr>
        <w:pStyle w:val="Heading3"/>
      </w:pPr>
      <w:r>
        <w:t xml:space="preserve">2.1 Main Data Table Transformation (</w:t>
      </w:r>
      <w:r>
        <w:rPr>
          <w:rStyle w:val="VerbatimChar"/>
        </w:rPr>
        <w:t xml:space="preserve">ReservationsTable.jsx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TransactionsTable.jsx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GeneralLedgerTable.jsx</w:t>
      </w:r>
      <w:r>
        <w:t xml:space="preserve">)</w:t>
      </w:r>
    </w:p>
    <w:p>
      <w:pPr>
        <w:pStyle w:val="FirstParagraph"/>
      </w:pPr>
      <w:r>
        <w:t xml:space="preserve">The 12-column reservations grid is mapped 1:1 to financial transaction and general ledger data points: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Original Reservation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Financial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Description &amp; UI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 checkbox for bulk journal reconciliation, batch posting, or export.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Booking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/ Journal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financial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TX-2026-001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JV-2026-089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INV-2026-1092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Guest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 / Entity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account title or counterparty (e.g.,</w:t>
            </w:r>
            <w:r>
              <w:t xml:space="preserve"> </w:t>
            </w:r>
            <w:r>
              <w:rPr>
                <w:i/>
                <w:iCs/>
              </w:rPr>
              <w:t xml:space="preserve">Operating Cash Account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Enterprise Tech Solutions LLC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classification (</w:t>
            </w:r>
            <w:r>
              <w:rPr>
                <w:i/>
                <w:iCs/>
              </w:rPr>
              <w:t xml:space="preserve">Current Assets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Operating Expense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Accounts Payable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Revenue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Sub-Ledger / Cost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Departmental cost allocation (</w:t>
            </w:r>
            <w:r>
              <w:rPr>
                <w:i/>
                <w:iCs/>
              </w:rPr>
              <w:t xml:space="preserve">HQ - Executive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Operations &amp; Facilities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Sales &amp; Marketing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Check-In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accounting transaction date (styled in</w:t>
            </w:r>
            <w:r>
              <w:t xml:space="preserve"> </w:t>
            </w:r>
            <w:r>
              <w:rPr>
                <w:b/>
                <w:bCs/>
              </w:rPr>
              <w:t xml:space="preserve">bold text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Check-Out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Due / Value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date for invoices or bank value clearance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Debit ($)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 entry amount formatted with 2 decimal places (e.g.,</w:t>
            </w:r>
            <w:r>
              <w:t xml:space="preserve"> </w:t>
            </w:r>
            <w:r>
              <w:rPr>
                <w:rStyle w:val="VerbatimChar"/>
              </w:rPr>
              <w:t xml:space="preserve">$12,450.00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($)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entry amount formatted with 2 decimal places (e.g.,</w:t>
            </w:r>
            <w:r>
              <w:t xml:space="preserve"> </w:t>
            </w:r>
            <w:r>
              <w:rPr>
                <w:rStyle w:val="VerbatimChar"/>
              </w:rPr>
              <w:t xml:space="preserve">$0.00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$12,450.00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Running Balance ($)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cumulative account balance:</w:t>
            </w:r>
            <w:r>
              <w:t xml:space="preserve"> </w:t>
            </w:r>
            <w:r>
              <w:rPr>
                <w:rStyle w:val="VerbatimChar"/>
              </w:rPr>
              <w:t xml:space="preserve">Prior Balance + Debit - Credit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$48,220.00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(Pill)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Reconciliation Status (Pill)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badge:</w:t>
            </w:r>
            <w:r>
              <w:t xml:space="preserve"> </w:t>
            </w:r>
            <w:r>
              <w:t xml:space="preserve">• 🟢</w:t>
            </w:r>
            <w:r>
              <w:t xml:space="preserve"> </w:t>
            </w:r>
            <w:r>
              <w:rPr>
                <w:b/>
                <w:bCs/>
              </w:rPr>
              <w:t xml:space="preserve">Reconciled / Posted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#dcfce7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#16a34a</w:t>
            </w:r>
            <w:r>
              <w:t xml:space="preserve">)</w:t>
            </w:r>
            <w:r>
              <w:t xml:space="preserve">• 🟡</w:t>
            </w:r>
            <w:r>
              <w:t xml:space="preserve"> </w:t>
            </w:r>
            <w:r>
              <w:rPr>
                <w:b/>
                <w:bCs/>
              </w:rPr>
              <w:t xml:space="preserve">Pending Approval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#fef9c3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#ca8a04</w:t>
            </w:r>
            <w:r>
              <w:t xml:space="preserve">)</w:t>
            </w:r>
            <w:r>
              <w:t xml:space="preserve">• 🔴</w:t>
            </w:r>
            <w:r>
              <w:t xml:space="preserve"> </w:t>
            </w:r>
            <w:r>
              <w:rPr>
                <w:b/>
                <w:bCs/>
              </w:rPr>
              <w:t xml:space="preserve">Unbalanced / Overdue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#fee2e2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#dc2626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 Check-In/Out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 / Entity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&amp; vendor brand logos (Chase, HSBC, Standard Chartered, Microsoft, AWS) using</w:t>
            </w:r>
            <w:r>
              <w:t xml:space="preserve"> </w:t>
            </w:r>
            <w:r>
              <w:rPr>
                <w:rStyle w:val="VerbatimChar"/>
              </w:rPr>
              <w:t xml:space="preserve">/public/logos/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Menu (⋯)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Clickable</w:t>
            </w:r>
            <w:r>
              <w:t xml:space="preserve"> </w:t>
            </w:r>
            <w:r>
              <w:rPr>
                <w:b/>
                <w:bCs/>
              </w:rPr>
              <w:t xml:space="preserve">View Journal / Audit</w:t>
            </w:r>
            <w:r>
              <w:t xml:space="preserve"> </w:t>
            </w:r>
            <w:r>
              <w:t xml:space="preserve">icon to navigate to the detailed double-entry breakdown.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2291520b253cf1d327ac1400632232d0ab10721"/>
    <w:p>
      <w:pPr>
        <w:pStyle w:val="Heading3"/>
      </w:pPr>
      <w:r>
        <w:t xml:space="preserve">2.2 Sidebar Navigation Restructuring (</w:t>
      </w:r>
      <w:r>
        <w:rPr>
          <w:rStyle w:val="VerbatimChar"/>
        </w:rPr>
        <w:t xml:space="preserve">Sidebar.jsx</w:t>
      </w:r>
      <w:r>
        <w:t xml:space="preserve">)</w:t>
      </w:r>
    </w:p>
    <w:p>
      <w:pPr>
        <w:pStyle w:val="FirstParagraph"/>
      </w:pPr>
      <w:r>
        <w:t xml:space="preserve">The left navigation hierarchy is structured to reflect chief financial officer (CFO), controller, and staff accountant workflows:</w:t>
      </w:r>
    </w:p>
    <w:p>
      <w:pPr>
        <w:pStyle w:val="SourceCode"/>
      </w:pPr>
      <w:r>
        <w:rPr>
          <w:rStyle w:val="VerbatimChar"/>
        </w:rPr>
        <w:t xml:space="preserve">quickbox (Logo - CurrencyDollarSimple icon)</w:t>
      </w:r>
      <w:r>
        <w:br/>
      </w:r>
      <w:r>
        <w:rPr>
          <w:rStyle w:val="VerbatimChar"/>
        </w:rPr>
        <w:t xml:space="preserve">├── Home (Financial Overview &amp; KPI Summary)</w:t>
      </w:r>
      <w:r>
        <w:br/>
      </w:r>
      <w:r>
        <w:rPr>
          <w:rStyle w:val="VerbatimChar"/>
        </w:rPr>
        <w:t xml:space="preserve">├── DAILY ACCOUNTING</w:t>
      </w:r>
      <w:r>
        <w:br/>
      </w:r>
      <w:r>
        <w:rPr>
          <w:rStyle w:val="VerbatimChar"/>
        </w:rPr>
        <w:t xml:space="preserve">│   ├── General Ledger (Active page - Double-entry journal view)</w:t>
      </w:r>
      <w:r>
        <w:br/>
      </w:r>
      <w:r>
        <w:rPr>
          <w:rStyle w:val="VerbatimChar"/>
        </w:rPr>
        <w:t xml:space="preserve">│   ├── Journal Entries (Multi-line debit/credit voucher creation)</w:t>
      </w:r>
      <w:r>
        <w:br/>
      </w:r>
      <w:r>
        <w:rPr>
          <w:rStyle w:val="VerbatimChar"/>
        </w:rPr>
        <w:t xml:space="preserve">│   ├── Cash &amp; Bank Operations (Reconciliation &amp; liquidity tracking)</w:t>
      </w:r>
      <w:r>
        <w:br/>
      </w:r>
      <w:r>
        <w:rPr>
          <w:rStyle w:val="VerbatimChar"/>
        </w:rPr>
        <w:t xml:space="preserve">│   └── Chart of Accounts (Hierarchical 5-tier account tree)</w:t>
      </w:r>
      <w:r>
        <w:br/>
      </w:r>
      <w:r>
        <w:rPr>
          <w:rStyle w:val="VerbatimChar"/>
        </w:rPr>
        <w:t xml:space="preserve">├── RECEIVABLES &amp; PAYABLES</w:t>
      </w:r>
      <w:r>
        <w:br/>
      </w:r>
      <w:r>
        <w:rPr>
          <w:rStyle w:val="VerbatimChar"/>
        </w:rPr>
        <w:t xml:space="preserve">│   ├── Accounts Receivable (Customer billing &amp; aging analysis)</w:t>
      </w:r>
      <w:r>
        <w:br/>
      </w:r>
      <w:r>
        <w:rPr>
          <w:rStyle w:val="VerbatimChar"/>
        </w:rPr>
        <w:t xml:space="preserve">│   ├── Accounts Payable (Vendor invoices &amp; payment approvals)</w:t>
      </w:r>
      <w:r>
        <w:br/>
      </w:r>
      <w:r>
        <w:rPr>
          <w:rStyle w:val="VerbatimChar"/>
        </w:rPr>
        <w:t xml:space="preserve">│   └── Expense Claims (Employee reimbursements &amp; petty cash)</w:t>
      </w:r>
      <w:r>
        <w:br/>
      </w:r>
      <w:r>
        <w:rPr>
          <w:rStyle w:val="VerbatimChar"/>
        </w:rPr>
        <w:t xml:space="preserve">├── PAYROLL &amp; TAXES</w:t>
      </w:r>
      <w:r>
        <w:br/>
      </w:r>
      <w:r>
        <w:rPr>
          <w:rStyle w:val="VerbatimChar"/>
        </w:rPr>
        <w:t xml:space="preserve">│   ├── Payroll Processing (Salary sheets, allowances &amp; deductions)</w:t>
      </w:r>
      <w:r>
        <w:br/>
      </w:r>
      <w:r>
        <w:rPr>
          <w:rStyle w:val="VerbatimChar"/>
        </w:rPr>
        <w:t xml:space="preserve">│   ├── Tax Management (VAT calculation &amp; withholding schedules)</w:t>
      </w:r>
      <w:r>
        <w:br/>
      </w:r>
      <w:r>
        <w:rPr>
          <w:rStyle w:val="VerbatimChar"/>
        </w:rPr>
        <w:t xml:space="preserve">│   └── Fixed Assets Register (Depreciation schedules &amp; asset book values)</w:t>
      </w:r>
      <w:r>
        <w:br/>
      </w:r>
      <w:r>
        <w:rPr>
          <w:rStyle w:val="VerbatimChar"/>
        </w:rPr>
        <w:t xml:space="preserve">├── FINANCIAL STATEMENTS &amp; REPORTS</w:t>
      </w:r>
      <w:r>
        <w:br/>
      </w:r>
      <w:r>
        <w:rPr>
          <w:rStyle w:val="VerbatimChar"/>
        </w:rPr>
        <w:t xml:space="preserve">│   ├── Balance Sheet (Assets, Liabilities &amp; Equity statement)</w:t>
      </w:r>
      <w:r>
        <w:br/>
      </w:r>
      <w:r>
        <w:rPr>
          <w:rStyle w:val="VerbatimChar"/>
        </w:rPr>
        <w:t xml:space="preserve">│   ├── Profit &amp; Loss / Income Statement (Net operating income trends)</w:t>
      </w:r>
      <w:r>
        <w:br/>
      </w:r>
      <w:r>
        <w:rPr>
          <w:rStyle w:val="VerbatimChar"/>
        </w:rPr>
        <w:t xml:space="preserve">│   ├── Cash Flow Statement (Operating, investing &amp; financing activities)</w:t>
      </w:r>
      <w:r>
        <w:br/>
      </w:r>
      <w:r>
        <w:rPr>
          <w:rStyle w:val="VerbatimChar"/>
        </w:rPr>
        <w:t xml:space="preserve">│   └── Trial Balance (Debit/Credit equality audit report)</w:t>
      </w:r>
      <w:r>
        <w:br/>
      </w:r>
      <w:r>
        <w:rPr>
          <w:rStyle w:val="VerbatimChar"/>
        </w:rPr>
        <w:t xml:space="preserve">└── Settings (Fiscal Year, Currencies, Tax Rates &amp; System Preferences)</w:t>
      </w:r>
    </w:p>
    <w:p>
      <w:r>
        <w:pict>
          <v:rect style="width:0;height:1.5pt" o:hralign="center" o:hrstd="t" o:hr="t"/>
        </w:pict>
      </w:r>
    </w:p>
    <w:bookmarkEnd w:id="12"/>
    <w:bookmarkStart w:id="13" w:name="X898cb6077b903735fcf99a7d6e91a55524a5ffa"/>
    <w:p>
      <w:pPr>
        <w:pStyle w:val="Heading3"/>
      </w:pPr>
      <w:r>
        <w:t xml:space="preserve">2.3 Topbar &amp; Filter Bar Adaptations (</w:t>
      </w:r>
      <w:r>
        <w:rPr>
          <w:rStyle w:val="VerbatimChar"/>
        </w:rPr>
        <w:t xml:space="preserve">Filters.jsx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Topbar.jsx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 Search Bar:</w:t>
      </w:r>
      <w:r>
        <w:t xml:space="preserve"> </w:t>
      </w:r>
      <w:r>
        <w:t xml:space="preserve">Instant filtering by Transaction Ref, Account Code, Customer/Vendor Name, or Check Number.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Dropdown:</w:t>
      </w:r>
      <w:r>
        <w:t xml:space="preserve"> </w:t>
      </w:r>
      <w:r>
        <w:t xml:space="preserve">Filter by</w:t>
      </w:r>
      <w:r>
        <w:t xml:space="preserve"> </w:t>
      </w:r>
      <w:r>
        <w:rPr>
          <w:i/>
          <w:iCs/>
        </w:rPr>
        <w:t xml:space="preserve">All Categories</w:t>
      </w:r>
      <w:r>
        <w:t xml:space="preserve">,</w:t>
      </w:r>
      <w:r>
        <w:t xml:space="preserve"> </w:t>
      </w:r>
      <w:r>
        <w:rPr>
          <w:i/>
          <w:iCs/>
        </w:rPr>
        <w:t xml:space="preserve">Assets (1000)</w:t>
      </w:r>
      <w:r>
        <w:t xml:space="preserve">,</w:t>
      </w:r>
      <w:r>
        <w:t xml:space="preserve"> </w:t>
      </w:r>
      <w:r>
        <w:rPr>
          <w:i/>
          <w:iCs/>
        </w:rPr>
        <w:t xml:space="preserve">Liabilities (2000)</w:t>
      </w:r>
      <w:r>
        <w:t xml:space="preserve">,</w:t>
      </w:r>
      <w:r>
        <w:t xml:space="preserve"> </w:t>
      </w:r>
      <w:r>
        <w:rPr>
          <w:i/>
          <w:iCs/>
        </w:rPr>
        <w:t xml:space="preserve">Equity (3000)</w:t>
      </w:r>
      <w:r>
        <w:t xml:space="preserve">,</w:t>
      </w:r>
      <w:r>
        <w:t xml:space="preserve"> </w:t>
      </w:r>
      <w:r>
        <w:rPr>
          <w:i/>
          <w:iCs/>
        </w:rPr>
        <w:t xml:space="preserve">Revenue (4000)</w:t>
      </w:r>
      <w:r>
        <w:t xml:space="preserve">, or</w:t>
      </w:r>
      <w:r>
        <w:t xml:space="preserve"> </w:t>
      </w:r>
      <w:r>
        <w:rPr>
          <w:i/>
          <w:iCs/>
        </w:rPr>
        <w:t xml:space="preserve">Expenses (5000/6000)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 Filter:</w:t>
      </w:r>
      <w:r>
        <w:t xml:space="preserve"> </w:t>
      </w:r>
      <w:r>
        <w:t xml:space="preserve">Quick-toggle pills for</w:t>
      </w:r>
      <w:r>
        <w:t xml:space="preserve"> </w:t>
      </w:r>
      <w:r>
        <w:rPr>
          <w:i/>
          <w:iCs/>
        </w:rPr>
        <w:t xml:space="preserve">All Transactions</w:t>
      </w:r>
      <w:r>
        <w:t xml:space="preserve">,</w:t>
      </w:r>
      <w:r>
        <w:t xml:space="preserve"> </w:t>
      </w:r>
      <w:r>
        <w:rPr>
          <w:i/>
          <w:iCs/>
        </w:rPr>
        <w:t xml:space="preserve">Posted / Reconciled</w:t>
      </w:r>
      <w:r>
        <w:t xml:space="preserve">,</w:t>
      </w:r>
      <w:r>
        <w:t xml:space="preserve"> </w:t>
      </w:r>
      <w:r>
        <w:rPr>
          <w:i/>
          <w:iCs/>
        </w:rPr>
        <w:t xml:space="preserve">Pending Review</w:t>
      </w:r>
      <w:r>
        <w:t xml:space="preserve">, and</w:t>
      </w:r>
      <w:r>
        <w:t xml:space="preserve"> </w:t>
      </w:r>
      <w:r>
        <w:rPr>
          <w:i/>
          <w:iCs/>
        </w:rPr>
        <w:t xml:space="preserve">Unbalanced / Flagged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 Location Filter:</w:t>
      </w:r>
      <w:r>
        <w:t xml:space="preserve"> </w:t>
      </w:r>
      <w:r>
        <w:t xml:space="preserve">Dropdown to isolate transactions by Fiscal Quarter (e.g.,</w:t>
      </w:r>
      <w:r>
        <w:t xml:space="preserve"> </w:t>
      </w:r>
      <w:r>
        <w:rPr>
          <w:rStyle w:val="VerbatimChar"/>
        </w:rPr>
        <w:t xml:space="preserve">Q3-2026</w:t>
      </w:r>
      <w:r>
        <w:t xml:space="preserve">) or Cost Center (</w:t>
      </w:r>
      <w:r>
        <w:rPr>
          <w:rStyle w:val="VerbatimChar"/>
        </w:rPr>
        <w:t xml:space="preserve">Corporate HQ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 &amp; Marketing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Action Button: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Add Booking</w:t>
      </w:r>
      <w:r>
        <w:t xml:space="preserve"> </w:t>
      </w:r>
      <w:r>
        <w:t xml:space="preserve">(green button) →</w:t>
      </w:r>
      <w:r>
        <w:t xml:space="preserve"> </w:t>
      </w:r>
      <w:r>
        <w:rPr>
          <w:rStyle w:val="VerbatimChar"/>
        </w:rPr>
        <w:t xml:space="preserve">+ New Journal Entry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📄 Create Invoice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core-technical-features-specifications"/>
    <w:p>
      <w:pPr>
        <w:pStyle w:val="Heading2"/>
      </w:pPr>
      <w:r>
        <w:t xml:space="preserve">3. Core Technical Features &amp; Specifications</w:t>
      </w:r>
    </w:p>
    <w:bookmarkStart w:id="15" w:name="X0210320bd6db11e87b3e25c2f85924964c8aa0a"/>
    <w:p>
      <w:pPr>
        <w:pStyle w:val="Heading3"/>
      </w:pPr>
      <w:r>
        <w:t xml:space="preserve">3.1 ⚠️ Floating Toast Low-Balance &amp; Overdue Invoice Notification System</w:t>
      </w:r>
    </w:p>
    <w:p>
      <w:pPr>
        <w:pStyle w:val="FirstParagraph"/>
      </w:pPr>
      <w:r>
        <w:t xml:space="preserve">To prevent financial risk (e.g., overdraft fees, liquidity shortfall, or delinquent customer accounts), the system features an automated real-time alerting engine.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 Condition:</w:t>
      </w:r>
      <w:r>
        <w:t xml:space="preserve"> </w:t>
      </w:r>
      <w:r>
        <w:t xml:space="preserve">Whenever</w:t>
      </w:r>
      <w:r>
        <w:t xml:space="preserve"> </w:t>
      </w:r>
      <w:r>
        <w:rPr>
          <w:rStyle w:val="VerbatimChar"/>
        </w:rPr>
        <w:t xml:space="preserve">Operating Cash Balance &lt;= Liquidity Threshold ($10,000.00)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Overdue Invoices Count &gt; 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Journal Entry Debit != Credit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Presentation:</w:t>
      </w:r>
      <w:r>
        <w:t xml:space="preserve"> </w:t>
      </w:r>
      <w:r>
        <w:t xml:space="preserve">A sleek, high-priority</w:t>
      </w:r>
      <w:r>
        <w:t xml:space="preserve"> </w:t>
      </w:r>
      <w:r>
        <w:rPr>
          <w:b/>
          <w:bCs/>
        </w:rPr>
        <w:t xml:space="preserve">Floating Toast Popup</w:t>
      </w:r>
      <w:r>
        <w:t xml:space="preserve"> </w:t>
      </w:r>
      <w:r>
        <w:t xml:space="preserve">anchored at the top-right of the viewport (overlaid on the Topbar).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Toast Design: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Icon:</w:t>
      </w:r>
      <w:r>
        <w:t xml:space="preserve"> </w:t>
      </w:r>
      <w:r>
        <w:t xml:space="preserve">Glowing warning triangle (</w:t>
      </w:r>
      <w:r>
        <w:rPr>
          <w:rStyle w:val="VerbatimChar"/>
        </w:rPr>
        <w:t xml:space="preserve">WarningCircle</w:t>
      </w:r>
      <w:r>
        <w:t xml:space="preserve"> </w:t>
      </w:r>
      <w:r>
        <w:t xml:space="preserve">in warning yellow/red).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Title:</w:t>
      </w:r>
      <w:r>
        <w:t xml:space="preserve"> </w:t>
      </w:r>
      <w:r>
        <w:rPr>
          <w:rStyle w:val="VerbatimChar"/>
        </w:rPr>
        <w:t xml:space="preserve">"Critical Financial Alert"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Body:</w:t>
      </w:r>
      <w:r>
        <w:t xml:space="preserve"> </w:t>
      </w:r>
      <w:r>
        <w:rPr>
          <w:rStyle w:val="VerbatimChar"/>
        </w:rPr>
        <w:t xml:space="preserve">"2 bank accounts have dropped below minimum liquidity reserve, and 3 invoices totaling $14,200.00 are overdue (&gt;30 days)."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Actions:</w:t>
      </w:r>
      <w:r>
        <w:t xml:space="preserve"> </w:t>
      </w:r>
      <w:r>
        <w:t xml:space="preserve">Two buttons inside the toast: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  <w:b/>
          <w:bCs/>
        </w:rPr>
        <w:t xml:space="preserve">Review Accounts</w:t>
      </w:r>
      <w:r>
        <w:t xml:space="preserve"> </w:t>
      </w:r>
      <w:r>
        <w:t xml:space="preserve">(auto-filters the ledger to highlight low-balance accounts or overdue AR).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  <w:b/>
          <w:bCs/>
        </w:rPr>
        <w:t xml:space="preserve">Dismiss</w:t>
      </w:r>
      <w:r>
        <w:t xml:space="preserve"> </w:t>
      </w:r>
      <w:r>
        <w:t xml:space="preserve">(acknowledges alert for the active user session).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Badge Indicator:</w:t>
      </w:r>
      <w:r>
        <w:t xml:space="preserve"> </w:t>
      </w:r>
      <w:r>
        <w:t xml:space="preserve">The Topbar notification bell displays a red pulsing counter badge (</w:t>
      </w:r>
      <w:r>
        <w:rPr>
          <w:rStyle w:val="VerbatimChar"/>
        </w:rPr>
        <w:t xml:space="preserve">5</w:t>
      </w:r>
      <w:r>
        <w:t xml:space="preserve">) representing pending financial exceptions.</w:t>
      </w:r>
    </w:p>
    <w:p>
      <w:r>
        <w:pict>
          <v:rect style="width:0;height:1.5pt" o:hralign="center" o:hrstd="t" o:hr="t"/>
        </w:pict>
      </w:r>
    </w:p>
    <w:bookmarkEnd w:id="15"/>
    <w:bookmarkStart w:id="16" w:name="Xd64458de358a088dc9e5222c71950797f32dfa7"/>
    <w:p>
      <w:pPr>
        <w:pStyle w:val="Heading3"/>
      </w:pPr>
      <w:r>
        <w:t xml:space="preserve">3.2 📜 Dedicated General Ledger Audit Trail &amp; Movement History Page</w:t>
      </w:r>
    </w:p>
    <w:p>
      <w:pPr>
        <w:pStyle w:val="FirstParagraph"/>
      </w:pPr>
      <w:r>
        <w:t xml:space="preserve">Financial compliance and governance require complete, tamper-evident auditability of every debit and credit entry. Rather than a cramped modal, a dedicated</w:t>
      </w:r>
      <w:r>
        <w:t xml:space="preserve"> </w:t>
      </w:r>
      <w:r>
        <w:rPr>
          <w:b/>
          <w:bCs/>
        </w:rPr>
        <w:t xml:space="preserve">Audit Logs &amp; Journal History</w:t>
      </w:r>
      <w:r>
        <w:t xml:space="preserve"> </w:t>
      </w:r>
      <w:r>
        <w:t xml:space="preserve">page provides deep forensics and filtering capabilities.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Page Layout:</w:t>
      </w:r>
      <w:r>
        <w:t xml:space="preserve"> </w:t>
      </w:r>
      <w:r>
        <w:t xml:space="preserve">A full-width high-density data grid mirroring the General Ledger layout.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Table Contents: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Timestamp:</w:t>
      </w:r>
      <w:r>
        <w:t xml:space="preserve"> </w:t>
      </w:r>
      <w:r>
        <w:t xml:space="preserve">Date and exact time of posting (e.g.,</w:t>
      </w:r>
      <w:r>
        <w:t xml:space="preserve"> </w:t>
      </w:r>
      <w:r>
        <w:rPr>
          <w:rStyle w:val="VerbatimChar"/>
        </w:rPr>
        <w:t xml:space="preserve">14.08.2026 - 10:15:32 UTC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Action Type:</w:t>
      </w:r>
      <w:r>
        <w:t xml:space="preserve"> </w:t>
      </w:r>
      <w:r>
        <w:t xml:space="preserve">Badge indicating</w:t>
      </w:r>
      <w:r>
        <w:t xml:space="preserve"> </w:t>
      </w:r>
      <w:r>
        <w:rPr>
          <w:rStyle w:val="VerbatimChar"/>
        </w:rPr>
        <w:t xml:space="preserve">+ Posted Journal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• Period Adjustment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🔒 Fiscal Year Lock</w:t>
      </w:r>
      <w:r>
        <w:t xml:space="preserve">, or</w:t>
      </w:r>
      <w:r>
        <w:t xml:space="preserve"> </w:t>
      </w:r>
      <w:r>
        <w:rPr>
          <w:rStyle w:val="VerbatimChar"/>
        </w:rPr>
        <w:t xml:space="preserve">↩️ Reversal Entry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Voucher / Ref #:</w:t>
      </w:r>
      <w:r>
        <w:t xml:space="preserve"> </w:t>
      </w:r>
      <w:r>
        <w:t xml:space="preserve">Unique journal voucher reference (e.g.,</w:t>
      </w:r>
      <w:r>
        <w:t xml:space="preserve"> </w:t>
      </w:r>
      <w:r>
        <w:rPr>
          <w:rStyle w:val="VerbatimChar"/>
        </w:rPr>
        <w:t xml:space="preserve">JV-2026-089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Debit / Credit Net:</w:t>
      </w:r>
      <w:r>
        <w:t xml:space="preserve"> </w:t>
      </w:r>
      <w:r>
        <w:t xml:space="preserve">Transaction magnitude (e.g.,</w:t>
      </w:r>
      <w:r>
        <w:t xml:space="preserve"> </w:t>
      </w:r>
      <w:r>
        <w:rPr>
          <w:rStyle w:val="VerbatimChar"/>
        </w:rPr>
        <w:t xml:space="preserve">$45,000.00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Source Account / Cost Center:</w:t>
      </w:r>
      <w:r>
        <w:t xml:space="preserve"> </w:t>
      </w:r>
      <w:r>
        <w:t xml:space="preserve">Affected account and department (e.g.,</w:t>
      </w:r>
      <w:r>
        <w:t xml:space="preserve"> </w:t>
      </w:r>
      <w:r>
        <w:rPr>
          <w:i/>
          <w:iCs/>
        </w:rPr>
        <w:t xml:space="preserve">1020 - Main Operating Bank Account</w:t>
      </w:r>
      <w:r>
        <w:t xml:space="preserve">,</w:t>
      </w:r>
      <w:r>
        <w:t xml:space="preserve"> </w:t>
      </w:r>
      <w:r>
        <w:rPr>
          <w:i/>
          <w:iCs/>
        </w:rPr>
        <w:t xml:space="preserve">HQ Administration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Authorized Accountant:</w:t>
      </w:r>
      <w:r>
        <w:t xml:space="preserve"> </w:t>
      </w:r>
      <w:r>
        <w:t xml:space="preserve">Name and avatar of the finance team member (e.g.,</w:t>
      </w:r>
      <w:r>
        <w:t xml:space="preserve"> </w:t>
      </w:r>
      <w:r>
        <w:rPr>
          <w:i/>
          <w:iCs/>
        </w:rPr>
        <w:t xml:space="preserve">Sarah Jenkins, CPA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Filters:</w:t>
      </w:r>
      <w:r>
        <w:t xml:space="preserve"> </w:t>
      </w:r>
      <w:r>
        <w:t xml:space="preserve">Top-bar filters to isolate logs by Fiscal Period Range, Account Number, Minimum Dollar Amount, or Authorizing User.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Export Audit Trail (CSV / PDF)</w:t>
      </w:r>
      <w:r>
        <w:t xml:space="preserve"> </w:t>
      </w:r>
      <w:r>
        <w:t xml:space="preserve">button for formal external audit compliance and reporting.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roposed-data-architecture-json-schema"/>
    <w:p>
      <w:pPr>
        <w:pStyle w:val="Heading2"/>
      </w:pPr>
      <w:r>
        <w:t xml:space="preserve">4. Proposed Data Architecture (JSON Schema)</w:t>
      </w:r>
    </w:p>
    <w:p>
      <w:pPr>
        <w:pStyle w:val="FirstParagraph"/>
      </w:pPr>
      <w:r>
        <w:t xml:space="preserve">To transition from static mock reservations to enterprise double-entry accounting data, the frontend structure will use the following state model: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"ACC-1020"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Operating Bank 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Assets"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 Treasury"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428950.00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"liquidityThreshold"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"Chase Commercial Banking"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"/logos/chase.png"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"in-stock"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"journalHistory"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"JV-2026-104"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"14.08.2026 09:30"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"INV-2026-884"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"1110 - Accounts Receivable"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 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Jenkins"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"JV-2026-102"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"10.08.2026 14:00"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 Disbursement"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"BILL-2026-312"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6200.00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"2010 - Accounts Payable"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 Infrastructure"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"Michael Chang"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"ACC-1110"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"Accounts Receivable (Trade Debtors)"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Assets"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 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84120.00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"liquidityThreshold"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AR Ledger"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"/logos/quickbox.png"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 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"low-stock"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"journalHistory"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"JV-2026-098"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"12.08.2026 16:45"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 Issuance"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"INV-2026-0412"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14200.00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"4010 - Sales Revenue"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 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Jenkins"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"ACC-2010"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"Accounts Payable (Trade Creditors)"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Liabilities"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"Procurement &amp; Operations"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36890.00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"liquidityThreshold"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AP Ledger"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"/logos/quickbox.png"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"in-stock"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"journalHistory"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"JV-2026-095"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"08.08.2026 11:20"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 Bill Approval"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"BILL-2026-109"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"6210 - Software Subscriptions"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"costCenter"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"Engineering &amp; 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"David Ross"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8"/>
    <w:bookmarkStart w:id="22" w:name="phased-implementation-roadmap"/>
    <w:p>
      <w:pPr>
        <w:pStyle w:val="Heading2"/>
      </w:pPr>
      <w:r>
        <w:t xml:space="preserve">5. Phased Implementation Roadmap</w:t>
      </w:r>
    </w:p>
    <w:bookmarkStart w:id="19" w:name="phase-1-data-model-table-refactoring"/>
    <w:p>
      <w:pPr>
        <w:pStyle w:val="Heading3"/>
      </w:pPr>
      <w:r>
        <w:t xml:space="preserve">Phase 1: Data Model &amp; Table Refactoring</w:t>
      </w:r>
    </w:p>
    <w:p>
      <w:pPr>
        <w:pStyle w:val="Compact"/>
        <w:numPr>
          <w:ilvl w:val="0"/>
          <w:numId w:val="1007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mockFinance.js</w:t>
      </w:r>
      <w:r>
        <w:t xml:space="preserve"> </w:t>
      </w:r>
      <w:r>
        <w:t xml:space="preserve">with 25–30 realistic enterprise financial entities (Chart of Accounts, Journal Vouchers, Accounts Payable/Receivable, Payroll records, Fixed Assets).</w:t>
      </w:r>
    </w:p>
    <w:p>
      <w:pPr>
        <w:pStyle w:val="Compact"/>
        <w:numPr>
          <w:ilvl w:val="0"/>
          <w:numId w:val="1007"/>
        </w:numPr>
      </w:pPr>
      <w:r>
        <w:t xml:space="preserve">Refactor</w:t>
      </w:r>
      <w:r>
        <w:t xml:space="preserve"> </w:t>
      </w:r>
      <w:r>
        <w:rPr>
          <w:rStyle w:val="VerbatimChar"/>
        </w:rPr>
        <w:t xml:space="preserve">ReservationsTable.jsx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TransactionsTable.jsx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GeneralLedgerTable.jsx</w:t>
      </w:r>
      <w:r>
        <w:t xml:space="preserve">, updating table headers (</w:t>
      </w:r>
      <w:r>
        <w:rPr>
          <w:rStyle w:val="VerbatimChar"/>
        </w:rPr>
        <w:t xml:space="preserve">&lt;th&gt;</w:t>
      </w:r>
      <w:r>
        <w:t xml:space="preserve">) and cell mappings (</w:t>
      </w:r>
      <w:r>
        <w:rPr>
          <w:rStyle w:val="VerbatimChar"/>
        </w:rPr>
        <w:t xml:space="preserve">&lt;td&gt;</w:t>
      </w:r>
      <w:r>
        <w:t xml:space="preserve">) to render Account Codes, Posting Dates, Debits, Credits, and Running Balances.</w:t>
      </w:r>
    </w:p>
    <w:p>
      <w:pPr>
        <w:pStyle w:val="Compact"/>
        <w:numPr>
          <w:ilvl w:val="0"/>
          <w:numId w:val="1007"/>
        </w:numPr>
      </w:pPr>
      <w:r>
        <w:t xml:space="preserve">Apply financial status pill styling in</w:t>
      </w:r>
      <w:r>
        <w:t xml:space="preserve"> </w:t>
      </w:r>
      <w:r>
        <w:rPr>
          <w:rStyle w:val="VerbatimChar"/>
        </w:rPr>
        <w:t xml:space="preserve">App.css</w:t>
      </w:r>
      <w:r>
        <w:t xml:space="preserve"> </w:t>
      </w:r>
      <w:r>
        <w:t xml:space="preserve">(</w:t>
      </w:r>
      <w:r>
        <w:rPr>
          <w:rStyle w:val="VerbatimChar"/>
        </w:rPr>
        <w:t xml:space="preserve">.status.reconciled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.status.pending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.status.overdue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.status.unbalanced</w:t>
      </w:r>
      <w:r>
        <w:t xml:space="preserve">).</w:t>
      </w:r>
    </w:p>
    <w:bookmarkEnd w:id="19"/>
    <w:bookmarkStart w:id="20" w:name="phase-2-navigation-filter-bar-adaptation"/>
    <w:p>
      <w:pPr>
        <w:pStyle w:val="Heading3"/>
      </w:pPr>
      <w:r>
        <w:t xml:space="preserve">Phase 2: Navigation &amp; Filter Bar Adaptation</w:t>
      </w:r>
    </w:p>
    <w:p>
      <w:pPr>
        <w:pStyle w:val="Compact"/>
        <w:numPr>
          <w:ilvl w:val="0"/>
          <w:numId w:val="100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Sidebar.jsx</w:t>
      </w:r>
      <w:r>
        <w:t xml:space="preserve"> </w:t>
      </w:r>
      <w:r>
        <w:t xml:space="preserve">with full financial management navigation groupings and Phosphor icons (</w:t>
      </w:r>
      <w:r>
        <w:rPr>
          <w:rStyle w:val="VerbatimChar"/>
        </w:rPr>
        <w:t xml:space="preserve">CurrencyDollarSimple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UsersThree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ChartLineUp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Filters.jsx</w:t>
      </w:r>
      <w:r>
        <w:t xml:space="preserve"> </w:t>
      </w:r>
      <w:r>
        <w:t xml:space="preserve">dropdown labels to filter by Account Category (Assets, Liabilities, Equity, Revenue, Expense) and Cost Center.</w:t>
      </w:r>
    </w:p>
    <w:p>
      <w:pPr>
        <w:pStyle w:val="Compact"/>
        <w:numPr>
          <w:ilvl w:val="0"/>
          <w:numId w:val="1008"/>
        </w:numPr>
      </w:pPr>
      <w:r>
        <w:t xml:space="preserve">Connect search input to filter ledger rows by Transaction Ref, Account Name, or Entity dynamically.</w:t>
      </w:r>
    </w:p>
    <w:bookmarkEnd w:id="20"/>
    <w:bookmarkStart w:id="21" w:name="phase-3-toast-notifications-audit-modal"/>
    <w:p>
      <w:pPr>
        <w:pStyle w:val="Heading3"/>
      </w:pPr>
      <w:r>
        <w:t xml:space="preserve">Phase 3: Toast Notifications &amp; Audit Modal</w:t>
      </w:r>
    </w:p>
    <w:p>
      <w:pPr>
        <w:pStyle w:val="Compact"/>
        <w:numPr>
          <w:ilvl w:val="0"/>
          <w:numId w:val="1009"/>
        </w:numPr>
      </w:pPr>
      <w:r>
        <w:t xml:space="preserve">Build a</w:t>
      </w:r>
      <w:r>
        <w:t xml:space="preserve"> </w:t>
      </w:r>
      <w:r>
        <w:rPr>
          <w:rStyle w:val="VerbatimChar"/>
        </w:rPr>
        <w:t xml:space="preserve">ToastNotification.jsx</w:t>
      </w:r>
      <w:r>
        <w:t xml:space="preserve"> </w:t>
      </w:r>
      <w:r>
        <w:t xml:space="preserve">component that evaluates liquidity thresholds and unbalanced entries on load and displays high-priority toast alerts.</w:t>
      </w:r>
    </w:p>
    <w:p>
      <w:pPr>
        <w:pStyle w:val="Compact"/>
        <w:numPr>
          <w:ilvl w:val="0"/>
          <w:numId w:val="1009"/>
        </w:numPr>
      </w:pPr>
      <w:r>
        <w:t xml:space="preserve">Build an</w:t>
      </w:r>
      <w:r>
        <w:t xml:space="preserve"> </w:t>
      </w:r>
      <w:r>
        <w:rPr>
          <w:rStyle w:val="VerbatimChar"/>
        </w:rPr>
        <w:t xml:space="preserve">AuditLogsView.jsx</w:t>
      </w:r>
      <w:r>
        <w:t xml:space="preserve"> </w:t>
      </w:r>
      <w:r>
        <w:t xml:space="preserve">dedicated page view (routed via sidebar), rendering double-entry journal logs in a filterable, audit-ready data grid.</w:t>
      </w:r>
    </w:p>
    <w:p>
      <w:pPr>
        <w:pStyle w:val="Compact"/>
        <w:numPr>
          <w:ilvl w:val="0"/>
          <w:numId w:val="1009"/>
        </w:numPr>
      </w:pPr>
      <w:r>
        <w:t xml:space="preserve">Test layout density and responsiveness to guarantee zero unwanted scrollbars, maintaining the pixel-perfect aesthetic achieved in Phase 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as part of the QuickBox Financial System Handover Specification.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2026-08-14T17:15:05Z</dcterms:created>
  <dcterms:modified xsi:type="dcterms:W3CDTF">2026-08-14T17:15:05Z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