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4F82" w:val="clear"/>
            <w:tcMar>
              <w:top w:w="300" w:type="dxa"/>
              <w:bottom w:w="300" w:type="dxa"/>
              <w:start w:w="200" w:type="dxa"/>
              <w:end w:w="200" w:type="dxa"/>
            </w:tcMar>
          </w:tcPr>
          <w:p>
            <w:pPr>
              <w:jc w:val="center"/>
            </w:pPr>
            <w:r>
              <w:rPr>
                <w:b/>
                <w:i w:val="0"/>
                <w:color w:val="CFE0F0"/>
                <w:sz w:val="18"/>
              </w:rPr>
              <w:t>FINANCIAL SYSTEMS RESEARCH</w:t>
            </w:r>
          </w:p>
          <w:p>
            <w:pPr>
              <w:jc w:val="center"/>
            </w:pPr>
            <w:r>
              <w:rPr>
                <w:b/>
                <w:i w:val="0"/>
                <w:color w:val="FFFFFF"/>
                <w:sz w:val="58"/>
              </w:rPr>
              <w:t>Financial Management System</w:t>
            </w:r>
          </w:p>
          <w:p>
            <w:pPr>
              <w:jc w:val="center"/>
            </w:pPr>
            <w:r>
              <w:rPr>
                <w:b w:val="0"/>
                <w:i w:val="0"/>
                <w:color w:val="CFE0F0"/>
                <w:sz w:val="26"/>
              </w:rPr>
              <w:t>Jordan Business &amp; Accounting Management Research</w:t>
            </w:r>
          </w:p>
        </w:tc>
      </w:tr>
    </w:tbl>
    <w:p/>
    <w:p>
      <w:pPr>
        <w:pStyle w:val="Heading1"/>
      </w:pPr>
      <w:r>
        <w:t>Table of Contents</w:t>
      </w:r>
    </w:p>
    <w:p>
      <w:r>
        <w:rPr>
          <w:b w:val="0"/>
          <w:i w:val="0"/>
          <w:color w:val="1B4F82"/>
          <w:sz w:val="22"/>
        </w:rPr>
        <w:t>1. Business Plan Development</w:t>
      </w:r>
      <w:r>
        <w:rPr>
          <w:b w:val="0"/>
          <w:i/>
          <w:color w:val="55697E"/>
          <w:sz w:val="20"/>
        </w:rPr>
        <w:t xml:space="preserve">  تطوير خطة العمل</w:t>
      </w:r>
    </w:p>
    <w:p>
      <w:r>
        <w:rPr>
          <w:b w:val="0"/>
          <w:i w:val="0"/>
          <w:color w:val="1B4F82"/>
          <w:sz w:val="22"/>
        </w:rPr>
        <w:t>2. Account Reconciliation</w:t>
      </w:r>
      <w:r>
        <w:rPr>
          <w:b w:val="0"/>
          <w:i/>
          <w:color w:val="55697E"/>
          <w:sz w:val="20"/>
        </w:rPr>
        <w:t xml:space="preserve">  مطابقة الحسابات</w:t>
      </w:r>
    </w:p>
    <w:p>
      <w:r>
        <w:rPr>
          <w:b w:val="0"/>
          <w:i w:val="0"/>
          <w:color w:val="1B4F82"/>
          <w:sz w:val="22"/>
        </w:rPr>
        <w:t>3. Account Management</w:t>
      </w:r>
      <w:r>
        <w:rPr>
          <w:b w:val="0"/>
          <w:i/>
          <w:color w:val="55697E"/>
          <w:sz w:val="20"/>
        </w:rPr>
        <w:t xml:space="preserve">  إدارة الحسابات</w:t>
      </w:r>
    </w:p>
    <w:p>
      <w:r>
        <w:rPr>
          <w:b w:val="0"/>
          <w:i w:val="0"/>
          <w:color w:val="1B4F82"/>
          <w:sz w:val="22"/>
        </w:rPr>
        <w:t>4. Internal Controls Implementation</w:t>
      </w:r>
      <w:r>
        <w:rPr>
          <w:b w:val="0"/>
          <w:i/>
          <w:color w:val="55697E"/>
          <w:sz w:val="20"/>
        </w:rPr>
        <w:t xml:space="preserve">  تنفيذ الضوابط الداخلية</w:t>
      </w:r>
    </w:p>
    <w:p>
      <w:r>
        <w:rPr>
          <w:b w:val="0"/>
          <w:i w:val="0"/>
          <w:color w:val="1B4F82"/>
          <w:sz w:val="22"/>
        </w:rPr>
        <w:t>5. Tender / Bid Auditing</w:t>
      </w:r>
      <w:r>
        <w:rPr>
          <w:b w:val="0"/>
          <w:i/>
          <w:color w:val="55697E"/>
          <w:sz w:val="20"/>
        </w:rPr>
        <w:t xml:space="preserve">  تدقيق على العطاءات</w:t>
      </w:r>
    </w:p>
    <w:p>
      <w:r>
        <w:rPr>
          <w:b w:val="0"/>
          <w:i w:val="0"/>
          <w:color w:val="1B4F82"/>
          <w:sz w:val="22"/>
        </w:rPr>
        <w:t>6. Cash Flow Improvement</w:t>
      </w:r>
      <w:r>
        <w:rPr>
          <w:b w:val="0"/>
          <w:i/>
          <w:color w:val="55697E"/>
          <w:sz w:val="20"/>
        </w:rPr>
        <w:t xml:space="preserve">  تحسين التدفق النقدي</w:t>
      </w:r>
    </w:p>
    <w:p>
      <w:r>
        <w:rPr>
          <w:b w:val="0"/>
          <w:i w:val="0"/>
          <w:color w:val="1B4F82"/>
          <w:sz w:val="22"/>
        </w:rPr>
        <w:t>7. Social Security</w:t>
      </w:r>
      <w:r>
        <w:rPr>
          <w:b w:val="0"/>
          <w:i/>
          <w:color w:val="55697E"/>
          <w:sz w:val="20"/>
        </w:rPr>
        <w:t xml:space="preserve">  الضمان الاجتماعي</w:t>
      </w:r>
    </w:p>
    <w:p>
      <w:r>
        <w:rPr>
          <w:b w:val="0"/>
          <w:i w:val="0"/>
          <w:color w:val="1B4F82"/>
          <w:sz w:val="22"/>
        </w:rPr>
        <w:t>8. Income Tax Preparation</w:t>
      </w:r>
      <w:r>
        <w:rPr>
          <w:b w:val="0"/>
          <w:i/>
          <w:color w:val="55697E"/>
          <w:sz w:val="20"/>
        </w:rPr>
        <w:t xml:space="preserve">  إعداد ضريبة الدخل</w:t>
      </w:r>
    </w:p>
    <w:p>
      <w:r>
        <w:rPr>
          <w:b w:val="0"/>
          <w:i w:val="0"/>
          <w:color w:val="1B4F82"/>
          <w:sz w:val="22"/>
        </w:rPr>
        <w:t>9. Fixed Assets</w:t>
      </w:r>
      <w:r>
        <w:rPr>
          <w:b w:val="0"/>
          <w:i/>
          <w:color w:val="55697E"/>
          <w:sz w:val="20"/>
        </w:rPr>
        <w:t xml:space="preserve">  الأصول الثابتة</w:t>
      </w:r>
    </w:p>
    <w:p>
      <w:r>
        <w:rPr>
          <w:b w:val="0"/>
          <w:i w:val="0"/>
          <w:color w:val="1B4F82"/>
          <w:sz w:val="22"/>
        </w:rPr>
        <w:t>10. Expense Classification &amp; Management</w:t>
      </w:r>
      <w:r>
        <w:rPr>
          <w:b w:val="0"/>
          <w:i/>
          <w:color w:val="55697E"/>
          <w:sz w:val="20"/>
        </w:rPr>
        <w:t xml:space="preserve">  تصنيف المصروف وإدارتها</w:t>
      </w:r>
    </w:p>
    <w:p>
      <w:r>
        <w:rPr>
          <w:b w:val="0"/>
          <w:i w:val="0"/>
          <w:color w:val="1B4F82"/>
          <w:sz w:val="22"/>
        </w:rPr>
        <w:t>11. Deduction Calculation</w:t>
      </w:r>
      <w:r>
        <w:rPr>
          <w:b w:val="0"/>
          <w:i/>
          <w:color w:val="55697E"/>
          <w:sz w:val="20"/>
        </w:rPr>
        <w:t xml:space="preserve">  حساب الاقتطاعات</w:t>
      </w:r>
    </w:p>
    <w:p>
      <w:r>
        <w:rPr>
          <w:b w:val="0"/>
          <w:i w:val="0"/>
          <w:color w:val="1B4F82"/>
          <w:sz w:val="22"/>
        </w:rPr>
        <w:t>12. Payroll Processing / Salary Issuance</w:t>
      </w:r>
      <w:r>
        <w:rPr>
          <w:b w:val="0"/>
          <w:i/>
          <w:color w:val="55697E"/>
          <w:sz w:val="20"/>
        </w:rPr>
        <w:t xml:space="preserve">  إصدار الرواتب</w:t>
      </w:r>
    </w:p>
    <w:p>
      <w:r>
        <w:rPr>
          <w:b w:val="0"/>
          <w:i w:val="0"/>
          <w:color w:val="1B4F82"/>
          <w:sz w:val="22"/>
        </w:rPr>
        <w:t>13. Monitoring Tax Exemptions &amp; Tax Updates</w:t>
      </w:r>
      <w:r>
        <w:rPr>
          <w:b w:val="0"/>
          <w:i/>
          <w:color w:val="55697E"/>
          <w:sz w:val="20"/>
        </w:rPr>
        <w:t xml:space="preserve">  متابعة نزول الإعفاءات والضرائب</w:t>
      </w:r>
    </w:p>
    <w:p>
      <w:r>
        <w:rPr>
          <w:b w:val="0"/>
          <w:i w:val="0"/>
          <w:color w:val="1B4F82"/>
          <w:sz w:val="22"/>
        </w:rPr>
        <w:t>14. Fixed Expenses</w:t>
      </w:r>
      <w:r>
        <w:rPr>
          <w:b w:val="0"/>
          <w:i/>
          <w:color w:val="55697E"/>
          <w:sz w:val="20"/>
        </w:rPr>
        <w:t xml:space="preserve">  المصاريف الثابتة</w:t>
      </w:r>
    </w:p>
    <w:p>
      <w:r>
        <w:rPr>
          <w:b w:val="0"/>
          <w:i w:val="0"/>
          <w:color w:val="1B4F82"/>
          <w:sz w:val="22"/>
        </w:rPr>
        <w:t>15. Reporting Concepts</w:t>
      </w:r>
      <w:r>
        <w:rPr>
          <w:b w:val="0"/>
          <w:i/>
          <w:color w:val="55697E"/>
          <w:sz w:val="20"/>
        </w:rPr>
        <w:t xml:space="preserve">  التقارير</w:t>
      </w:r>
    </w:p>
    <w:p>
      <w:r>
        <w:rPr>
          <w:b w:val="0"/>
          <w:i w:val="0"/>
          <w:color w:val="1B4F82"/>
          <w:sz w:val="22"/>
        </w:rPr>
        <w:t>16. Written Financial Policy</w:t>
      </w:r>
      <w:r>
        <w:rPr>
          <w:b w:val="0"/>
          <w:i/>
          <w:color w:val="55697E"/>
          <w:sz w:val="20"/>
        </w:rPr>
        <w:t xml:space="preserve">  سياسة مالية مكتوبة</w:t>
      </w:r>
    </w:p>
    <w:p/>
    <w:p>
      <w:pPr>
        <w:pStyle w:val="Heading1"/>
      </w:pPr>
      <w:r>
        <w:t>Introduction</w:t>
      </w:r>
    </w:p>
    <w:p>
      <w:r>
        <w:t>This document explains the financial and accounting topics that must be understood before software requirements are written. For each topic, it describes what the process is, why it matters, how it normally works in practice, the main data or documents involved, and a practical example.</w:t>
      </w:r>
    </w:p>
    <w:p/>
    <w:tbl>
      <w:tblPr>
        <w:tblW w:type="auto" w:w="0"/>
        <w:jc w:val="center"/>
        <w:tblLook w:firstColumn="1" w:firstRow="1" w:lastColumn="0" w:lastRow="0" w:noHBand="0" w:noVBand="1" w:val="04A0"/>
        <w:tblBorders>
          <w:top w:val="single" w:sz="4" w:space="0" w:color="1B4F82"/>
          <w:left w:val="single" w:sz="4" w:space="0" w:color="1B4F82"/>
          <w:bottom w:val="single" w:sz="4" w:space="0" w:color="1B4F82"/>
          <w:right w:val="single" w:sz="4" w:space="0" w:color="1B4F82"/>
          <w:insideH w:val="single" w:sz="4" w:space="0" w:color="1B4F82"/>
          <w:insideV w:val="single" w:sz="4" w:space="0" w:color="1B4F82"/>
        </w:tblBorders>
      </w:tblPr>
      <w:tblGrid>
        <w:gridCol w:w="9972"/>
      </w:tblGrid>
      <w:tr>
        <w:tc>
          <w:tcPr>
            <w:tcW w:type="dxa" w:w="9972"/>
            <w:shd w:fill="E7F0FA" w:val="clear"/>
            <w:tcMar>
              <w:top w:w="150" w:type="dxa"/>
              <w:bottom w:w="150" w:type="dxa"/>
              <w:start w:w="200" w:type="dxa"/>
              <w:end w:w="200" w:type="dxa"/>
            </w:tcMar>
          </w:tcPr>
          <w:p>
            <w:r>
              <w:rPr>
                <w:b/>
                <w:i w:val="0"/>
                <w:color w:val="1B4F82"/>
                <w:sz w:val="24"/>
              </w:rPr>
              <w:t>Important</w:t>
            </w:r>
          </w:p>
          <w:p>
            <w:r>
              <w:rPr>
                <w:b w:val="0"/>
                <w:i w:val="0"/>
                <w:sz w:val="20"/>
              </w:rPr>
              <w:t>This document includes the current Jordanian tax, social-security, and other statutory rates relevant to the financial processes discussed. These figures are provided as a business reference based on the applicable rules at the time of this research. As rates, exemptions, thresholds, and regulations may change, they should be verified against the latest official Jordanian regulations before being applied. Company-specific approval limits and internal policies should also be confirmed during the Requirements phase.</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w:t>
            </w:r>
          </w:p>
        </w:tc>
        <w:tc>
          <w:tcPr>
            <w:tcW w:type="dxa" w:w="4986"/>
            <w:tcMar>
              <w:top w:w="100" w:type="dxa"/>
              <w:bottom w:w="100" w:type="dxa"/>
              <w:start w:w="150" w:type="dxa"/>
              <w:end w:w="80" w:type="dxa"/>
            </w:tcMar>
          </w:tcPr>
          <w:p>
            <w:r>
              <w:rPr>
                <w:b/>
                <w:i w:val="0"/>
                <w:color w:val="1B4F82"/>
                <w:sz w:val="28"/>
              </w:rPr>
              <w:t>Business Plan Development</w:t>
            </w:r>
            <w:r>
              <w:rPr>
                <w:b w:val="0"/>
                <w:i w:val="0"/>
                <w:sz w:val="20"/>
              </w:rPr>
              <w:t xml:space="preserve">   </w:t>
            </w:r>
            <w:r>
              <w:rPr>
                <w:b w:val="0"/>
                <w:i/>
                <w:color w:val="55697E"/>
                <w:sz w:val="26"/>
              </w:rPr>
              <w:t>تطوير خطة العمل</w:t>
            </w:r>
          </w:p>
        </w:tc>
      </w:tr>
    </w:tbl>
    <w:p>
      <w:pPr>
        <w:jc w:val="center"/>
      </w:pPr>
      <w:r>
        <w:drawing>
          <wp:inline xmlns:a="http://schemas.openxmlformats.org/drawingml/2006/main" xmlns:pic="http://schemas.openxmlformats.org/drawingml/2006/picture">
            <wp:extent cx="5669280" cy="2701628"/>
            <wp:docPr id="1" name="Picture 1"/>
            <wp:cNvGraphicFramePr>
              <a:graphicFrameLocks noChangeAspect="1"/>
            </wp:cNvGraphicFramePr>
            <a:graphic>
              <a:graphicData uri="http://schemas.openxmlformats.org/drawingml/2006/picture">
                <pic:pic>
                  <pic:nvPicPr>
                    <pic:cNvPr id="0" name="Screenshot 2026-08-22 090637.png"/>
                    <pic:cNvPicPr/>
                  </pic:nvPicPr>
                  <pic:blipFill>
                    <a:blip r:embed="rId9"/>
                    <a:stretch>
                      <a:fillRect/>
                    </a:stretch>
                  </pic:blipFill>
                  <pic:spPr>
                    <a:xfrm>
                      <a:off x="0" y="0"/>
                      <a:ext cx="5669280" cy="2701628"/>
                    </a:xfrm>
                    <a:prstGeom prst="rect"/>
                  </pic:spPr>
                </pic:pic>
              </a:graphicData>
            </a:graphic>
          </wp:inline>
        </w:drawing>
      </w:r>
    </w:p>
    <w:p>
      <w:pPr>
        <w:jc w:val="center"/>
      </w:pPr>
      <w:r>
        <w:rPr>
          <w:b w:val="0"/>
          <w:i/>
          <w:color w:val="55697E"/>
          <w:sz w:val="18"/>
        </w:rPr>
        <w:t>Figure 1: Business Plan Development — System View</w:t>
      </w:r>
    </w:p>
    <w:p>
      <w:r>
        <w:rPr>
          <w:b w:val="0"/>
          <w:i/>
          <w:color w:val="55697E"/>
          <w:sz w:val="22"/>
        </w:rPr>
        <w:t>A financial business plan translates management goals into expected revenue, costs, cash needs, budgets and forecasts. It creates a baseline that management can compare with actual performance and helps identify funding needs before problems occur.</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Management defines goals and the planning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Finance reviews historical results and gathers assumptions for sales, pricing, staffing, rent, operating costs and planned investments.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Revenue, expense and monthly cash-flow estimates are prepared and reviewed.</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The approved budget becomes the baseline; actual results are compared with it and significant variances are investigated.</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Forecasts may be updated as conditions change, while the original approved budget remains available for comparison.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Prior-year results, sales assumptions, cost estimates, staffing plans, capital spending and financing assumptions.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company plans a new branch. Finance estimates setup cost, monthly rent, salaries, utilities and expected sales. The cash forecast shows that the branch will require head-office funding during its first months, allowing management to plan the cash requirement in advance.</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2</w:t>
            </w:r>
          </w:p>
        </w:tc>
        <w:tc>
          <w:tcPr>
            <w:tcW w:type="dxa" w:w="4986"/>
            <w:tcMar>
              <w:top w:w="100" w:type="dxa"/>
              <w:bottom w:w="100" w:type="dxa"/>
              <w:start w:w="150" w:type="dxa"/>
              <w:end w:w="80" w:type="dxa"/>
            </w:tcMar>
          </w:tcPr>
          <w:p>
            <w:r>
              <w:rPr>
                <w:b/>
                <w:i w:val="0"/>
                <w:color w:val="1B4F82"/>
                <w:sz w:val="28"/>
              </w:rPr>
              <w:t>Account Reconciliation</w:t>
            </w:r>
            <w:r>
              <w:rPr>
                <w:b w:val="0"/>
                <w:i w:val="0"/>
                <w:sz w:val="20"/>
              </w:rPr>
              <w:t xml:space="preserve">   </w:t>
            </w:r>
            <w:r>
              <w:rPr>
                <w:b w:val="0"/>
                <w:i/>
                <w:color w:val="55697E"/>
                <w:sz w:val="26"/>
              </w:rPr>
              <w:t>مطابقة الحسابات</w:t>
            </w:r>
          </w:p>
        </w:tc>
      </w:tr>
    </w:tbl>
    <w:p>
      <w:pPr>
        <w:jc w:val="center"/>
      </w:pPr>
      <w:r>
        <w:drawing>
          <wp:inline xmlns:a="http://schemas.openxmlformats.org/drawingml/2006/main" xmlns:pic="http://schemas.openxmlformats.org/drawingml/2006/picture">
            <wp:extent cx="5669280" cy="2720900"/>
            <wp:docPr id="2" name="Picture 2"/>
            <wp:cNvGraphicFramePr>
              <a:graphicFrameLocks noChangeAspect="1"/>
            </wp:cNvGraphicFramePr>
            <a:graphic>
              <a:graphicData uri="http://schemas.openxmlformats.org/drawingml/2006/picture">
                <pic:pic>
                  <pic:nvPicPr>
                    <pic:cNvPr id="0" name="Screenshot 2026-08-22 090646.png"/>
                    <pic:cNvPicPr/>
                  </pic:nvPicPr>
                  <pic:blipFill>
                    <a:blip r:embed="rId10"/>
                    <a:stretch>
                      <a:fillRect/>
                    </a:stretch>
                  </pic:blipFill>
                  <pic:spPr>
                    <a:xfrm>
                      <a:off x="0" y="0"/>
                      <a:ext cx="5669280" cy="2720900"/>
                    </a:xfrm>
                    <a:prstGeom prst="rect"/>
                  </pic:spPr>
                </pic:pic>
              </a:graphicData>
            </a:graphic>
          </wp:inline>
        </w:drawing>
      </w:r>
    </w:p>
    <w:p>
      <w:pPr>
        <w:jc w:val="center"/>
      </w:pPr>
      <w:r>
        <w:rPr>
          <w:b w:val="0"/>
          <w:i/>
          <w:color w:val="55697E"/>
          <w:sz w:val="18"/>
        </w:rPr>
        <w:t>Figure 2: Account Reconciliation — System View</w:t>
      </w:r>
    </w:p>
    <w:p>
      <w:r>
        <w:rPr>
          <w:b w:val="0"/>
          <w:i/>
          <w:color w:val="55697E"/>
          <w:sz w:val="22"/>
        </w:rPr>
        <w:t>Reconciliation compares the company's accounting record with an independent source, such as a bank, supplier or customer statement. The purpose is to confirm that balances agree or explain every difference.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Select the account and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Obtain the independent statement for the same period.</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Match transactions by date, amount and reference.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Investigate unmatched items such as timing differences, bank charges, duplicate entries or posting errors.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Post justified adjustments to the books, then recalculate the balances.</w:t>
            </w:r>
          </w:p>
        </w:tc>
        <w:tc>
          <w:tcPr>
            <w:tcW w:type="dxa" w:w="4986"/>
            <w:shd w:fill="F2F5F9" w:val="clear"/>
            <w:tcMar>
              <w:top w:w="80" w:type="dxa"/>
              <w:bottom w:w="80" w:type="dxa"/>
              <w:start w:w="120" w:type="dxa"/>
              <w:end w:w="120" w:type="dxa"/>
            </w:tcMar>
          </w:tcPr>
          <w:p>
            <w:r>
              <w:rPr>
                <w:b/>
                <w:i w:val="0"/>
                <w:color w:val="1B4F82"/>
                <w:sz w:val="20"/>
              </w:rPr>
              <w:t>STEP 6</w:t>
            </w:r>
          </w:p>
          <w:p>
            <w:r>
              <w:rPr>
                <w:b w:val="0"/>
                <w:i w:val="0"/>
                <w:sz w:val="20"/>
              </w:rPr>
              <w:t>A reviewer approves the completed reconciliation before the period is considered closed.</w:t>
            </w: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General-ledger detail, external statements, receipts, deposit slips, bank notices and supporting documents for unmatched items.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The cash ledger shows JOD 10,000 and the bank statement JOD 9,800. The accountant identifies a JOD 200 bank fee missing from the books, records it, and the adjusted book balance becomes JOD 9,800.</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3</w:t>
            </w:r>
          </w:p>
        </w:tc>
        <w:tc>
          <w:tcPr>
            <w:tcW w:type="dxa" w:w="4986"/>
            <w:tcMar>
              <w:top w:w="100" w:type="dxa"/>
              <w:bottom w:w="100" w:type="dxa"/>
              <w:start w:w="150" w:type="dxa"/>
              <w:end w:w="80" w:type="dxa"/>
            </w:tcMar>
          </w:tcPr>
          <w:p>
            <w:r>
              <w:rPr>
                <w:b/>
                <w:i w:val="0"/>
                <w:color w:val="1B4F82"/>
                <w:sz w:val="28"/>
              </w:rPr>
              <w:t>Account Management</w:t>
            </w:r>
            <w:r>
              <w:rPr>
                <w:b w:val="0"/>
                <w:i w:val="0"/>
                <w:sz w:val="20"/>
              </w:rPr>
              <w:t xml:space="preserve">   </w:t>
            </w:r>
            <w:r>
              <w:rPr>
                <w:b w:val="0"/>
                <w:i/>
                <w:color w:val="55697E"/>
                <w:sz w:val="26"/>
              </w:rPr>
              <w:t>إدارة الحسابات</w:t>
            </w:r>
          </w:p>
        </w:tc>
      </w:tr>
    </w:tbl>
    <w:p>
      <w:pPr>
        <w:jc w:val="center"/>
      </w:pPr>
      <w:r>
        <w:drawing>
          <wp:inline xmlns:a="http://schemas.openxmlformats.org/drawingml/2006/main" xmlns:pic="http://schemas.openxmlformats.org/drawingml/2006/picture">
            <wp:extent cx="5669280" cy="2714991"/>
            <wp:docPr id="3" name="Picture 3"/>
            <wp:cNvGraphicFramePr>
              <a:graphicFrameLocks noChangeAspect="1"/>
            </wp:cNvGraphicFramePr>
            <a:graphic>
              <a:graphicData uri="http://schemas.openxmlformats.org/drawingml/2006/picture">
                <pic:pic>
                  <pic:nvPicPr>
                    <pic:cNvPr id="0" name="Screenshot 2026-08-22 090711.png"/>
                    <pic:cNvPicPr/>
                  </pic:nvPicPr>
                  <pic:blipFill>
                    <a:blip r:embed="rId11"/>
                    <a:stretch>
                      <a:fillRect/>
                    </a:stretch>
                  </pic:blipFill>
                  <pic:spPr>
                    <a:xfrm>
                      <a:off x="0" y="0"/>
                      <a:ext cx="5669280" cy="2714991"/>
                    </a:xfrm>
                    <a:prstGeom prst="rect"/>
                  </pic:spPr>
                </pic:pic>
              </a:graphicData>
            </a:graphic>
          </wp:inline>
        </w:drawing>
      </w:r>
    </w:p>
    <w:p>
      <w:pPr>
        <w:jc w:val="center"/>
      </w:pPr>
      <w:r>
        <w:rPr>
          <w:b w:val="0"/>
          <w:i/>
          <w:color w:val="55697E"/>
          <w:sz w:val="18"/>
        </w:rPr>
        <w:t>Figure 3: Account Management — System View</w:t>
      </w:r>
    </w:p>
    <w:p>
      <w:r>
        <w:rPr>
          <w:b w:val="0"/>
          <w:i/>
          <w:color w:val="55697E"/>
          <w:sz w:val="22"/>
        </w:rPr>
        <w:t>Account management maintains the Chart of Accounts (CoA) and ensures transactions are recorded in the correct asset, liability, equity, revenue or expense accounts. A consistent CoA is essential because reporting, reconciliation, budgeting and tax work all depend on correct classification.</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Maintain account codes, names, types and hierarchy.</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Create new accounts through a controlled process rather than ad hoc during data entry.</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Post transactions to the correct accounts and review account activity regularly.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Investigate unusual balances or amounts left in suspense/clearing accounts.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Deactivate unused accounts instead of deleting them so historical transactions remain traceable.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Chart of Accounts, journal entries, transaction history, invoices, receipts and account status information.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JOD 2,000 office-rent payment is posted as Debit Rent Expense / Credit Bank. The same posting then flows correctly into expense, cash and management reports.</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4</w:t>
            </w:r>
          </w:p>
        </w:tc>
        <w:tc>
          <w:tcPr>
            <w:tcW w:type="dxa" w:w="4986"/>
            <w:tcMar>
              <w:top w:w="100" w:type="dxa"/>
              <w:bottom w:w="100" w:type="dxa"/>
              <w:start w:w="150" w:type="dxa"/>
              <w:end w:w="80" w:type="dxa"/>
            </w:tcMar>
          </w:tcPr>
          <w:p>
            <w:r>
              <w:rPr>
                <w:b/>
                <w:i w:val="0"/>
                <w:color w:val="1B4F82"/>
                <w:sz w:val="28"/>
              </w:rPr>
              <w:t>Internal Controls Implementation</w:t>
            </w:r>
            <w:r>
              <w:rPr>
                <w:b w:val="0"/>
                <w:i w:val="0"/>
                <w:sz w:val="20"/>
              </w:rPr>
              <w:t xml:space="preserve">   </w:t>
            </w:r>
            <w:r>
              <w:rPr>
                <w:b w:val="0"/>
                <w:i/>
                <w:color w:val="55697E"/>
                <w:sz w:val="26"/>
              </w:rPr>
              <w:t>تنفيذ الضوابط الداخلية</w:t>
            </w:r>
          </w:p>
        </w:tc>
      </w:tr>
    </w:tbl>
    <w:p>
      <w:pPr>
        <w:jc w:val="center"/>
      </w:pPr>
      <w:r>
        <w:drawing>
          <wp:inline xmlns:a="http://schemas.openxmlformats.org/drawingml/2006/main" xmlns:pic="http://schemas.openxmlformats.org/drawingml/2006/picture">
            <wp:extent cx="5669280" cy="2712037"/>
            <wp:docPr id="4" name="Picture 4"/>
            <wp:cNvGraphicFramePr>
              <a:graphicFrameLocks noChangeAspect="1"/>
            </wp:cNvGraphicFramePr>
            <a:graphic>
              <a:graphicData uri="http://schemas.openxmlformats.org/drawingml/2006/picture">
                <pic:pic>
                  <pic:nvPicPr>
                    <pic:cNvPr id="0" name="Screenshot 2026-08-22 090725.png"/>
                    <pic:cNvPicPr/>
                  </pic:nvPicPr>
                  <pic:blipFill>
                    <a:blip r:embed="rId12"/>
                    <a:stretch>
                      <a:fillRect/>
                    </a:stretch>
                  </pic:blipFill>
                  <pic:spPr>
                    <a:xfrm>
                      <a:off x="0" y="0"/>
                      <a:ext cx="5669280" cy="2712037"/>
                    </a:xfrm>
                    <a:prstGeom prst="rect"/>
                  </pic:spPr>
                </pic:pic>
              </a:graphicData>
            </a:graphic>
          </wp:inline>
        </w:drawing>
      </w:r>
    </w:p>
    <w:p>
      <w:pPr>
        <w:jc w:val="center"/>
      </w:pPr>
      <w:r>
        <w:rPr>
          <w:b w:val="0"/>
          <w:i/>
          <w:color w:val="55697E"/>
          <w:sz w:val="18"/>
        </w:rPr>
        <w:t>Figure 4: Internal Controls Implementation — System View</w:t>
      </w:r>
    </w:p>
    <w:p>
      <w:r>
        <w:rPr>
          <w:b w:val="0"/>
          <w:i/>
          <w:color w:val="55697E"/>
          <w:sz w:val="22"/>
        </w:rPr>
        <w:t>Internal controls are rules that make financial activity authorized, accurate and traceable. They reduce the risk of error or fraud through approvals, segregation of duties, access restrictions, reconciliations and audit trails.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Identify sensitive activities such as large payments, payroll changes, vendor changes and unusual journal entries.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Assign roles so incompatible duties are separated; the person creating a sensitive transaction should not normally approve it.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Apply approval thresholds and route transactions to the required authority.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Record who created, edited, approved, rejected or cancelled each controlled transaction.</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Lock closed periods and handle later corrections through controlled adjustments.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User roles, approval matrix, monetary thresholds, audit logs, transaction status and supporting evidence.</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accountant enters a JOD 10,000 supplier payment. Because it exceeds the approval threshold, it remains pending until the Finance Manager reviews and approves it.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5</w:t>
            </w:r>
          </w:p>
        </w:tc>
        <w:tc>
          <w:tcPr>
            <w:tcW w:type="dxa" w:w="4986"/>
            <w:tcMar>
              <w:top w:w="100" w:type="dxa"/>
              <w:bottom w:w="100" w:type="dxa"/>
              <w:start w:w="150" w:type="dxa"/>
              <w:end w:w="80" w:type="dxa"/>
            </w:tcMar>
          </w:tcPr>
          <w:p>
            <w:r>
              <w:rPr>
                <w:b/>
                <w:i w:val="0"/>
                <w:color w:val="1B4F82"/>
                <w:sz w:val="28"/>
              </w:rPr>
              <w:t>Tender / Bid Auditing</w:t>
            </w:r>
            <w:r>
              <w:rPr>
                <w:b w:val="0"/>
                <w:i w:val="0"/>
                <w:sz w:val="20"/>
              </w:rPr>
              <w:t xml:space="preserve">   </w:t>
            </w:r>
            <w:r>
              <w:rPr>
                <w:b w:val="0"/>
                <w:i/>
                <w:color w:val="55697E"/>
                <w:sz w:val="26"/>
              </w:rPr>
              <w:t>تدقيق على العطاءات</w:t>
            </w:r>
          </w:p>
        </w:tc>
      </w:tr>
    </w:tbl>
    <w:p>
      <w:pPr>
        <w:jc w:val="center"/>
      </w:pPr>
      <w:r>
        <w:drawing>
          <wp:inline xmlns:a="http://schemas.openxmlformats.org/drawingml/2006/main" xmlns:pic="http://schemas.openxmlformats.org/drawingml/2006/picture">
            <wp:extent cx="5669280" cy="2691357"/>
            <wp:docPr id="5" name="Picture 5"/>
            <wp:cNvGraphicFramePr>
              <a:graphicFrameLocks noChangeAspect="1"/>
            </wp:cNvGraphicFramePr>
            <a:graphic>
              <a:graphicData uri="http://schemas.openxmlformats.org/drawingml/2006/picture">
                <pic:pic>
                  <pic:nvPicPr>
                    <pic:cNvPr id="0" name="Screenshot 2026-08-22 090734.png"/>
                    <pic:cNvPicPr/>
                  </pic:nvPicPr>
                  <pic:blipFill>
                    <a:blip r:embed="rId13"/>
                    <a:stretch>
                      <a:fillRect/>
                    </a:stretch>
                  </pic:blipFill>
                  <pic:spPr>
                    <a:xfrm>
                      <a:off x="0" y="0"/>
                      <a:ext cx="5669280" cy="2691357"/>
                    </a:xfrm>
                    <a:prstGeom prst="rect"/>
                  </pic:spPr>
                </pic:pic>
              </a:graphicData>
            </a:graphic>
          </wp:inline>
        </w:drawing>
      </w:r>
    </w:p>
    <w:p>
      <w:pPr>
        <w:jc w:val="center"/>
      </w:pPr>
      <w:r>
        <w:rPr>
          <w:b w:val="0"/>
          <w:i/>
          <w:color w:val="55697E"/>
          <w:sz w:val="18"/>
        </w:rPr>
        <w:t>Figure 5: Tender / Bid Auditing — System View</w:t>
      </w:r>
    </w:p>
    <w:p>
      <w:r>
        <w:rPr>
          <w:b w:val="0"/>
          <w:i/>
          <w:color w:val="55697E"/>
          <w:sz w:val="22"/>
        </w:rPr>
        <w:t>Tender auditing provides a fair, documented financial review of supplier bids. The selected offer should represent the best value against agreed criteria, not automatically the lowest price.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Define the requirement, budget and evaluation criteria before bids are reviewed.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Receive and log supplier offers with price, taxes/fees, payment terms and delivery information.</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Compare bids consistently against the agreed criteria and verify budget availability.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Document the evaluation and reason for the selected supplier.</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Obtain the required approval and retain all bids, evaluation notes and decisions for audit.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Tender documents, supplier bids, evaluation criteria, pricing schedules, payment terms, budget confirmation and approval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Three suppliers quote JOD 20,000, JOD 18,500 and JOD 19,000. The JOD 19,000 offer may be selected if its warranty and delivery score make it the best overall value; the reason is documented and approved.</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6</w:t>
            </w:r>
          </w:p>
        </w:tc>
        <w:tc>
          <w:tcPr>
            <w:tcW w:type="dxa" w:w="4986"/>
            <w:tcMar>
              <w:top w:w="100" w:type="dxa"/>
              <w:bottom w:w="100" w:type="dxa"/>
              <w:start w:w="150" w:type="dxa"/>
              <w:end w:w="80" w:type="dxa"/>
            </w:tcMar>
          </w:tcPr>
          <w:p>
            <w:r>
              <w:rPr>
                <w:b/>
                <w:i w:val="0"/>
                <w:color w:val="1B4F82"/>
                <w:sz w:val="28"/>
              </w:rPr>
              <w:t>Cash Flow Improvement</w:t>
            </w:r>
            <w:r>
              <w:rPr>
                <w:b w:val="0"/>
                <w:i w:val="0"/>
                <w:sz w:val="20"/>
              </w:rPr>
              <w:t xml:space="preserve">   </w:t>
            </w:r>
            <w:r>
              <w:rPr>
                <w:b w:val="0"/>
                <w:i/>
                <w:color w:val="55697E"/>
                <w:sz w:val="26"/>
              </w:rPr>
              <w:t>تحسين التدفق النقدي</w:t>
            </w:r>
          </w:p>
        </w:tc>
      </w:tr>
    </w:tbl>
    <w:p>
      <w:pPr>
        <w:jc w:val="center"/>
      </w:pPr>
      <w:r>
        <w:drawing>
          <wp:inline xmlns:a="http://schemas.openxmlformats.org/drawingml/2006/main" xmlns:pic="http://schemas.openxmlformats.org/drawingml/2006/picture">
            <wp:extent cx="5669280" cy="2709083"/>
            <wp:docPr id="6" name="Picture 6"/>
            <wp:cNvGraphicFramePr>
              <a:graphicFrameLocks noChangeAspect="1"/>
            </wp:cNvGraphicFramePr>
            <a:graphic>
              <a:graphicData uri="http://schemas.openxmlformats.org/drawingml/2006/picture">
                <pic:pic>
                  <pic:nvPicPr>
                    <pic:cNvPr id="0" name="Screenshot 2026-08-22 090805.png"/>
                    <pic:cNvPicPr/>
                  </pic:nvPicPr>
                  <pic:blipFill>
                    <a:blip r:embed="rId14"/>
                    <a:stretch>
                      <a:fillRect/>
                    </a:stretch>
                  </pic:blipFill>
                  <pic:spPr>
                    <a:xfrm>
                      <a:off x="0" y="0"/>
                      <a:ext cx="5669280" cy="2709083"/>
                    </a:xfrm>
                    <a:prstGeom prst="rect"/>
                  </pic:spPr>
                </pic:pic>
              </a:graphicData>
            </a:graphic>
          </wp:inline>
        </w:drawing>
      </w:r>
    </w:p>
    <w:p>
      <w:pPr>
        <w:jc w:val="center"/>
      </w:pPr>
      <w:r>
        <w:rPr>
          <w:b w:val="0"/>
          <w:i/>
          <w:color w:val="55697E"/>
          <w:sz w:val="18"/>
        </w:rPr>
        <w:t>Figure 6: Cash Flow Improvement — System View</w:t>
      </w:r>
    </w:p>
    <w:p>
      <w:r>
        <w:rPr>
          <w:b w:val="0"/>
          <w:i/>
          <w:color w:val="55697E"/>
          <w:sz w:val="22"/>
        </w:rPr>
        <w:t>Cash flow focuses on the timing of actual cash receipts and payments. A profitable company can still face a liquidity problem if customers pay later than payroll, suppliers or taxes are due.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Start with current reconciled cash balances.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List expected customer receipts by due date and expected payment behavior.</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List planned outflows such as suppliers, payroll, loans, taxes and fixed expenses.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Build a rolling forecast and identify dates where cash may fall below the required level.</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Take action before the shortage occurs, then update the forecast as actual receipts and payments happen.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Bank balances, receivable aging, payable due dates, payroll schedules, loan payments, taxes and recurring obligations.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Sales are strong but customers pay on 90-day terms. The forecast identifies an expected JOD 8,000 payroll shortfall several weeks early, giving management time to accelerate collections or arrange funding.</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7</w:t>
            </w:r>
          </w:p>
        </w:tc>
        <w:tc>
          <w:tcPr>
            <w:tcW w:type="dxa" w:w="4986"/>
            <w:tcMar>
              <w:top w:w="100" w:type="dxa"/>
              <w:bottom w:w="100" w:type="dxa"/>
              <w:start w:w="150" w:type="dxa"/>
              <w:end w:w="80" w:type="dxa"/>
            </w:tcMar>
          </w:tcPr>
          <w:p>
            <w:r>
              <w:rPr>
                <w:b/>
                <w:i w:val="0"/>
                <w:color w:val="1B4F82"/>
                <w:sz w:val="28"/>
              </w:rPr>
              <w:t>Social Security</w:t>
            </w:r>
            <w:r>
              <w:rPr>
                <w:b w:val="0"/>
                <w:i w:val="0"/>
                <w:sz w:val="20"/>
              </w:rPr>
              <w:t xml:space="preserve">   </w:t>
            </w:r>
            <w:r>
              <w:rPr>
                <w:b w:val="0"/>
                <w:i/>
                <w:color w:val="55697E"/>
                <w:sz w:val="26"/>
              </w:rPr>
              <w:t>الضمان الاجتماعي</w:t>
            </w:r>
          </w:p>
        </w:tc>
      </w:tr>
    </w:tbl>
    <w:p>
      <w:pPr>
        <w:jc w:val="center"/>
      </w:pPr>
      <w:r>
        <w:drawing>
          <wp:inline xmlns:a="http://schemas.openxmlformats.org/drawingml/2006/main" xmlns:pic="http://schemas.openxmlformats.org/drawingml/2006/picture">
            <wp:extent cx="5669280" cy="2707539"/>
            <wp:docPr id="7" name="Picture 7"/>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7: Social Security — System View</w:t>
      </w:r>
    </w:p>
    <w:p>
      <w:r>
        <w:rPr>
          <w:b w:val="0"/>
          <w:i/>
          <w:color w:val="55697E"/>
          <w:sz w:val="22"/>
        </w:rPr>
        <w:t>From the finance perspective, social security is part of payroll compliance: applicable employee contributions are deducted from pay and employer contributions are recorded as an additional company cost. Rates and eligibility rules can change and therefore must be tied to an effective rule.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Determine employee eligibility and the rule applicable to the payroll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Calculate the employee contribution on the eligible salary basis.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the employer contribution separately.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Record the employee portion as a payroll deduction and the employer portion as a company expense/liability.</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Prepare the records required for payment/reporting and retain the calculation basis.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Employee salary and eligibility data, effective contribution rules, payroll-period calculations and contribution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During payroll, the currently approved contribution rule is applied to an eligible employee. Both the employee deduction and employer contribution are recorded with the rule version used for that period.</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8</w:t>
            </w:r>
          </w:p>
        </w:tc>
        <w:tc>
          <w:tcPr>
            <w:tcW w:type="dxa" w:w="4986"/>
            <w:tcMar>
              <w:top w:w="100" w:type="dxa"/>
              <w:bottom w:w="100" w:type="dxa"/>
              <w:start w:w="150" w:type="dxa"/>
              <w:end w:w="80" w:type="dxa"/>
            </w:tcMar>
          </w:tcPr>
          <w:p>
            <w:r>
              <w:rPr>
                <w:b/>
                <w:i w:val="0"/>
                <w:color w:val="1B4F82"/>
                <w:sz w:val="28"/>
              </w:rPr>
              <w:t>Income Tax Preparation</w:t>
            </w:r>
            <w:r>
              <w:rPr>
                <w:b w:val="0"/>
                <w:i w:val="0"/>
                <w:sz w:val="20"/>
              </w:rPr>
              <w:t xml:space="preserve">   </w:t>
            </w:r>
            <w:r>
              <w:rPr>
                <w:b w:val="0"/>
                <w:i/>
                <w:color w:val="55697E"/>
                <w:sz w:val="26"/>
              </w:rPr>
              <w:t>إعداد ضريبة الدخل</w:t>
            </w:r>
          </w:p>
        </w:tc>
      </w:tr>
    </w:tbl>
    <w:p>
      <w:pPr>
        <w:jc w:val="center"/>
      </w:pPr>
      <w:r>
        <w:drawing>
          <wp:inline xmlns:a="http://schemas.openxmlformats.org/drawingml/2006/main" xmlns:pic="http://schemas.openxmlformats.org/drawingml/2006/picture">
            <wp:extent cx="5669280" cy="2688403"/>
            <wp:docPr id="8" name="Picture 8"/>
            <wp:cNvGraphicFramePr>
              <a:graphicFrameLocks noChangeAspect="1"/>
            </wp:cNvGraphicFramePr>
            <a:graphic>
              <a:graphicData uri="http://schemas.openxmlformats.org/drawingml/2006/picture">
                <pic:pic>
                  <pic:nvPicPr>
                    <pic:cNvPr id="0" name="Screenshot 2026-08-22 090850.png"/>
                    <pic:cNvPicPr/>
                  </pic:nvPicPr>
                  <pic:blipFill>
                    <a:blip r:embed="rId16"/>
                    <a:stretch>
                      <a:fillRect/>
                    </a:stretch>
                  </pic:blipFill>
                  <pic:spPr>
                    <a:xfrm>
                      <a:off x="0" y="0"/>
                      <a:ext cx="5669280" cy="2688403"/>
                    </a:xfrm>
                    <a:prstGeom prst="rect"/>
                  </pic:spPr>
                </pic:pic>
              </a:graphicData>
            </a:graphic>
          </wp:inline>
        </w:drawing>
      </w:r>
    </w:p>
    <w:p>
      <w:pPr>
        <w:jc w:val="center"/>
      </w:pPr>
      <w:r>
        <w:rPr>
          <w:b w:val="0"/>
          <w:i/>
          <w:color w:val="55697E"/>
          <w:sz w:val="18"/>
        </w:rPr>
        <w:t>Figure 8: Income Tax Preparation — System View</w:t>
      </w:r>
    </w:p>
    <w:p>
      <w:r>
        <w:rPr>
          <w:b w:val="0"/>
          <w:i/>
          <w:color w:val="55697E"/>
          <w:sz w:val="22"/>
        </w:rPr>
        <w:t>Income-tax preparation organizes accounting results into the information needed to calculate and support the company's tax position. Accounting profit and taxable income can differ because some items require tax-specific treatment or adjustment.</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Close and review the accounting period and ensure relevant accounts are reconciled.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Classify revenue and expenses according to their tax treatment.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Identify and document required tax adjustments.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Apply the validated tax rules and exemptions effective for the period.</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Calculate the tax position, review it and retain working papers supporting every adjustment.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Reconciled revenue/expense data, tax classifications, fixed-asset/depreciation information, adjustments and the applicable rule version.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At year end, finance starts from accounting profit, identifies any non-deductible items or applicable exemptions, documents the adjustments and derives taxable income with a traceable working paper.</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9</w:t>
            </w:r>
          </w:p>
        </w:tc>
        <w:tc>
          <w:tcPr>
            <w:tcW w:type="dxa" w:w="4986"/>
            <w:tcMar>
              <w:top w:w="100" w:type="dxa"/>
              <w:bottom w:w="100" w:type="dxa"/>
              <w:start w:w="150" w:type="dxa"/>
              <w:end w:w="80" w:type="dxa"/>
            </w:tcMar>
          </w:tcPr>
          <w:p>
            <w:r>
              <w:rPr>
                <w:b/>
                <w:i w:val="0"/>
                <w:color w:val="1B4F82"/>
                <w:sz w:val="28"/>
              </w:rPr>
              <w:t>Fixed Assets</w:t>
            </w:r>
            <w:r>
              <w:rPr>
                <w:b w:val="0"/>
                <w:i w:val="0"/>
                <w:sz w:val="20"/>
              </w:rPr>
              <w:t xml:space="preserve">   </w:t>
            </w:r>
            <w:r>
              <w:rPr>
                <w:b w:val="0"/>
                <w:i/>
                <w:color w:val="55697E"/>
                <w:sz w:val="26"/>
              </w:rPr>
              <w:t>الأصول الثابتة</w:t>
            </w:r>
          </w:p>
        </w:tc>
      </w:tr>
    </w:tbl>
    <w:p>
      <w:pPr>
        <w:jc w:val="center"/>
      </w:pPr>
      <w:r>
        <w:drawing>
          <wp:inline xmlns:a="http://schemas.openxmlformats.org/drawingml/2006/main" xmlns:pic="http://schemas.openxmlformats.org/drawingml/2006/picture">
            <wp:extent cx="5669280" cy="2700220"/>
            <wp:docPr id="9" name="Picture 9"/>
            <wp:cNvGraphicFramePr>
              <a:graphicFrameLocks noChangeAspect="1"/>
            </wp:cNvGraphicFramePr>
            <a:graphic>
              <a:graphicData uri="http://schemas.openxmlformats.org/drawingml/2006/picture">
                <pic:pic>
                  <pic:nvPicPr>
                    <pic:cNvPr id="0" name="Screenshot 2026-08-22 090900.png"/>
                    <pic:cNvPicPr/>
                  </pic:nvPicPr>
                  <pic:blipFill>
                    <a:blip r:embed="rId17"/>
                    <a:stretch>
                      <a:fillRect/>
                    </a:stretch>
                  </pic:blipFill>
                  <pic:spPr>
                    <a:xfrm>
                      <a:off x="0" y="0"/>
                      <a:ext cx="5669280" cy="2700220"/>
                    </a:xfrm>
                    <a:prstGeom prst="rect"/>
                  </pic:spPr>
                </pic:pic>
              </a:graphicData>
            </a:graphic>
          </wp:inline>
        </w:drawing>
      </w:r>
    </w:p>
    <w:p>
      <w:pPr>
        <w:jc w:val="center"/>
      </w:pPr>
      <w:r>
        <w:rPr>
          <w:b w:val="0"/>
          <w:i/>
          <w:color w:val="55697E"/>
          <w:sz w:val="18"/>
        </w:rPr>
        <w:t>Figure 9: Fixed Assets — System View</w:t>
      </w:r>
    </w:p>
    <w:p>
      <w:r>
        <w:rPr>
          <w:b w:val="0"/>
          <w:i/>
          <w:color w:val="55697E"/>
          <w:sz w:val="22"/>
        </w:rPr>
        <w:t>Fixed assets are long-term resources such as equipment, vehicles and furniture. Their cost is normally allocated over their useful life through depreciation rather than treated like an ordinary short-term expense.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Register the asset with cost, acquisition date, category and location/custodian.</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Assign the approved useful life, residual value where applicable and depreciation method.</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and record periodic depreciation.</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Track historical cost, accumulated depreciation and carrying amount.</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Record transfers, impairment/adjustments where applicable, and eventual disposal or retirement while preserving history.</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Asset register, purchase invoice, acquisition cost/date, useful life, depreciation method, accumulated depreciation and disposal information.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Equipment costing JOD 10,000 with a five-year straight-line life and no residual value produces JOD 2,000 depreciation per year. After year one, accumulated depreciation is JOD 2,000 and carrying amount is JOD 8,000.</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10</w:t>
            </w:r>
          </w:p>
        </w:tc>
        <w:tc>
          <w:tcPr>
            <w:tcW w:type="dxa" w:w="4986"/>
            <w:tcMar>
              <w:top w:w="100" w:type="dxa"/>
              <w:bottom w:w="100" w:type="dxa"/>
              <w:start w:w="150" w:type="dxa"/>
              <w:end w:w="80" w:type="dxa"/>
            </w:tcMar>
          </w:tcPr>
          <w:p>
            <w:r>
              <w:rPr>
                <w:b/>
                <w:i w:val="0"/>
                <w:color w:val="1B4F82"/>
                <w:sz w:val="28"/>
              </w:rPr>
              <w:t>Expense Classification &amp; Management</w:t>
            </w:r>
            <w:r>
              <w:rPr>
                <w:b w:val="0"/>
                <w:i w:val="0"/>
                <w:sz w:val="20"/>
              </w:rPr>
              <w:t xml:space="preserve">   </w:t>
            </w:r>
            <w:r>
              <w:rPr>
                <w:b w:val="0"/>
                <w:i/>
                <w:color w:val="55697E"/>
                <w:sz w:val="26"/>
              </w:rPr>
              <w:t>تصنيف المصروف وإدارتها</w:t>
            </w:r>
          </w:p>
        </w:tc>
      </w:tr>
    </w:tbl>
    <w:p>
      <w:pPr>
        <w:jc w:val="center"/>
      </w:pPr>
      <w:r>
        <w:drawing>
          <wp:inline xmlns:a="http://schemas.openxmlformats.org/drawingml/2006/main" xmlns:pic="http://schemas.openxmlformats.org/drawingml/2006/picture">
            <wp:extent cx="5669280" cy="2700220"/>
            <wp:docPr id="10" name="Picture 10"/>
            <wp:cNvGraphicFramePr>
              <a:graphicFrameLocks noChangeAspect="1"/>
            </wp:cNvGraphicFramePr>
            <a:graphic>
              <a:graphicData uri="http://schemas.openxmlformats.org/drawingml/2006/picture">
                <pic:pic>
                  <pic:nvPicPr>
                    <pic:cNvPr id="0" name="Screenshot 2026-08-22 090908.png"/>
                    <pic:cNvPicPr/>
                  </pic:nvPicPr>
                  <pic:blipFill>
                    <a:blip r:embed="rId18"/>
                    <a:stretch>
                      <a:fillRect/>
                    </a:stretch>
                  </pic:blipFill>
                  <pic:spPr>
                    <a:xfrm>
                      <a:off x="0" y="0"/>
                      <a:ext cx="5669280" cy="2700220"/>
                    </a:xfrm>
                    <a:prstGeom prst="rect"/>
                  </pic:spPr>
                </pic:pic>
              </a:graphicData>
            </a:graphic>
          </wp:inline>
        </w:drawing>
      </w:r>
    </w:p>
    <w:p>
      <w:pPr>
        <w:jc w:val="center"/>
      </w:pPr>
      <w:r>
        <w:rPr>
          <w:b w:val="0"/>
          <w:i/>
          <w:color w:val="55697E"/>
          <w:sz w:val="18"/>
        </w:rPr>
        <w:t>Figure 10: Expense Classification &amp; Management — System View</w:t>
      </w:r>
    </w:p>
    <w:p>
      <w:r>
        <w:rPr>
          <w:b w:val="0"/>
          <w:i/>
          <w:color w:val="55697E"/>
          <w:sz w:val="22"/>
        </w:rPr>
        <w:t>Expense management captures company spending, assigns it to the correct account/category and cost center or project where relevant, verifies supporting evidence, obtains approval when required and makes the spending available for analysis.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Enter or import the expense with date, amount, vendor and description.</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Attach the invoice or receipt.</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Classify the expense to the appropriate account/category and cost center/project where needed.</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Route it for approval according to policy, then post the approved expense.</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Review spending by category and period to identify trends, variances or misclassification.</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Invoices, receipts, vendor information, expense categories, cost centers/projects and approval history.</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 JOD 500 electricity invoice is classified as Utilities Expense. At month end it is included in utilities spending and can be compared with the budget.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11</w:t>
            </w:r>
          </w:p>
        </w:tc>
        <w:tc>
          <w:tcPr>
            <w:tcW w:type="dxa" w:w="4986"/>
            <w:tcMar>
              <w:top w:w="100" w:type="dxa"/>
              <w:bottom w:w="100" w:type="dxa"/>
              <w:start w:w="150" w:type="dxa"/>
              <w:end w:w="80" w:type="dxa"/>
            </w:tcMar>
          </w:tcPr>
          <w:p>
            <w:r>
              <w:rPr>
                <w:b/>
                <w:i w:val="0"/>
                <w:color w:val="1B4F82"/>
                <w:sz w:val="28"/>
              </w:rPr>
              <w:t>Deduction Calculation</w:t>
            </w:r>
            <w:r>
              <w:rPr>
                <w:b w:val="0"/>
                <w:i w:val="0"/>
                <w:sz w:val="20"/>
              </w:rPr>
              <w:t xml:space="preserve">   </w:t>
            </w:r>
            <w:r>
              <w:rPr>
                <w:b w:val="0"/>
                <w:i/>
                <w:color w:val="55697E"/>
                <w:sz w:val="26"/>
              </w:rPr>
              <w:t>حساب الاقتطاعات</w:t>
            </w:r>
          </w:p>
        </w:tc>
      </w:tr>
    </w:tbl>
    <w:p>
      <w:pPr>
        <w:jc w:val="center"/>
      </w:pPr>
      <w:r>
        <w:drawing>
          <wp:inline xmlns:a="http://schemas.openxmlformats.org/drawingml/2006/main" xmlns:pic="http://schemas.openxmlformats.org/drawingml/2006/picture">
            <wp:extent cx="5669280" cy="2707539"/>
            <wp:docPr id="11" name="Picture 11"/>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11: Deduction Calculation — System View</w:t>
      </w:r>
    </w:p>
    <w:p>
      <w:r>
        <w:rPr>
          <w:b w:val="0"/>
          <w:i/>
          <w:color w:val="55697E"/>
          <w:sz w:val="22"/>
        </w:rPr>
        <w:t>Deductions are authorized amounts subtracted from gross earnings to calculate net pay. They may be statutory or company/employee-authorized and can use fixed amounts, percentages or approved formulas.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Determine gross earnings for the payroll period.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Identify which deductions apply to the employee.</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each deduction using the applicable rule.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Total deductions and calculate net pay.</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Show a line-by-line breakdown and handle any manual exception through an authorized, documented adjustment.</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Gross earnings, deduction types, applicability, effective calculation rules and approved manual adjustments.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Gross earnings are JOD 1,000. If the applicable deductions total JOD 100, net pay is JOD 900. The payslip should show each deduction separately rather than only one unexplained total.</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12</w:t>
            </w:r>
          </w:p>
        </w:tc>
        <w:tc>
          <w:tcPr>
            <w:tcW w:type="dxa" w:w="4986"/>
            <w:tcMar>
              <w:top w:w="100" w:type="dxa"/>
              <w:bottom w:w="100" w:type="dxa"/>
              <w:start w:w="150" w:type="dxa"/>
              <w:end w:w="80" w:type="dxa"/>
            </w:tcMar>
          </w:tcPr>
          <w:p>
            <w:r>
              <w:rPr>
                <w:b/>
                <w:i w:val="0"/>
                <w:color w:val="1B4F82"/>
                <w:sz w:val="28"/>
              </w:rPr>
              <w:t>Payroll Processing / Salary Issuance</w:t>
            </w:r>
            <w:r>
              <w:rPr>
                <w:b w:val="0"/>
                <w:i w:val="0"/>
                <w:sz w:val="20"/>
              </w:rPr>
              <w:t xml:space="preserve">   </w:t>
            </w:r>
            <w:r>
              <w:rPr>
                <w:b w:val="0"/>
                <w:i/>
                <w:color w:val="55697E"/>
                <w:sz w:val="26"/>
              </w:rPr>
              <w:t>إصدار الرواتب</w:t>
            </w:r>
          </w:p>
        </w:tc>
      </w:tr>
    </w:tbl>
    <w:p>
      <w:pPr>
        <w:jc w:val="center"/>
      </w:pPr>
      <w:r>
        <w:drawing>
          <wp:inline xmlns:a="http://schemas.openxmlformats.org/drawingml/2006/main" xmlns:pic="http://schemas.openxmlformats.org/drawingml/2006/picture">
            <wp:extent cx="5669280" cy="2707539"/>
            <wp:docPr id="12" name="Picture 12"/>
            <wp:cNvGraphicFramePr>
              <a:graphicFrameLocks noChangeAspect="1"/>
            </wp:cNvGraphicFramePr>
            <a:graphic>
              <a:graphicData uri="http://schemas.openxmlformats.org/drawingml/2006/picture">
                <pic:pic>
                  <pic:nvPicPr>
                    <pic:cNvPr id="0" name="Screenshot 2026-08-22 090840.png"/>
                    <pic:cNvPicPr/>
                  </pic:nvPicPr>
                  <pic:blipFill>
                    <a:blip r:embed="rId15"/>
                    <a:stretch>
                      <a:fillRect/>
                    </a:stretch>
                  </pic:blipFill>
                  <pic:spPr>
                    <a:xfrm>
                      <a:off x="0" y="0"/>
                      <a:ext cx="5669280" cy="2707539"/>
                    </a:xfrm>
                    <a:prstGeom prst="rect"/>
                  </pic:spPr>
                </pic:pic>
              </a:graphicData>
            </a:graphic>
          </wp:inline>
        </w:drawing>
      </w:r>
    </w:p>
    <w:p>
      <w:pPr>
        <w:jc w:val="center"/>
      </w:pPr>
      <w:r>
        <w:rPr>
          <w:b w:val="0"/>
          <w:i/>
          <w:color w:val="55697E"/>
          <w:sz w:val="18"/>
        </w:rPr>
        <w:t>Figure 12: Payroll Processing / Salary Issuance — System View</w:t>
      </w:r>
    </w:p>
    <w:p>
      <w:r>
        <w:rPr>
          <w:b w:val="0"/>
          <w:i/>
          <w:color w:val="55697E"/>
          <w:sz w:val="22"/>
        </w:rPr>
        <w:t>Payroll processing converts approved employee compensation inputs into reviewed and finalized salary payments. It combines gross earnings, deductions, employer contributions, approvals, payslips and the related accounting impact.</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Open the payroll period and load eligible employees.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Collect approved salary, allowance, overtime and employee-change inputs.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Calculate gross pay, deductions, employer contributions and net pay.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Review anomalies and route the payroll run for approval.</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After approval, finalize payment, generate payslips and post the accounting entries.</w:t>
            </w:r>
          </w:p>
        </w:tc>
        <w:tc>
          <w:tcPr>
            <w:tcW w:type="dxa" w:w="4986"/>
            <w:shd w:fill="F2F5F9" w:val="clear"/>
            <w:tcMar>
              <w:top w:w="80" w:type="dxa"/>
              <w:bottom w:w="80" w:type="dxa"/>
              <w:start w:w="120" w:type="dxa"/>
              <w:end w:w="120" w:type="dxa"/>
            </w:tcMar>
          </w:tcPr>
          <w:p>
            <w:r>
              <w:rPr>
                <w:b/>
                <w:i w:val="0"/>
                <w:color w:val="1B4F82"/>
                <w:sz w:val="20"/>
              </w:rPr>
              <w:t>STEP 6</w:t>
            </w:r>
          </w:p>
          <w:p>
            <w:r>
              <w:rPr>
                <w:b w:val="0"/>
                <w:i w:val="0"/>
                <w:sz w:val="20"/>
              </w:rPr>
              <w:t>Lock the finalized payroll; later corrections use controlled adjustments rather than rewriting history.</w:t>
            </w: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Employee master data, period-specific payroll inputs, deduction/contribution rules, calculated results and approval records.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employee has JOD 1,000 basic salary plus JOD 100 allowance and JOD 150 total deductions. Net pay is JOD 950. After the payroll run is reviewed and approved, payment and payslip are generated.</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13</w:t>
            </w:r>
          </w:p>
        </w:tc>
        <w:tc>
          <w:tcPr>
            <w:tcW w:type="dxa" w:w="4986"/>
            <w:tcMar>
              <w:top w:w="100" w:type="dxa"/>
              <w:bottom w:w="100" w:type="dxa"/>
              <w:start w:w="150" w:type="dxa"/>
              <w:end w:w="80" w:type="dxa"/>
            </w:tcMar>
          </w:tcPr>
          <w:p>
            <w:r>
              <w:rPr>
                <w:b/>
                <w:i w:val="0"/>
                <w:color w:val="1B4F82"/>
                <w:sz w:val="28"/>
              </w:rPr>
              <w:t>Monitoring Tax Exemptions &amp; Tax Updates</w:t>
            </w:r>
            <w:r>
              <w:rPr>
                <w:b w:val="0"/>
                <w:i w:val="0"/>
                <w:sz w:val="20"/>
              </w:rPr>
              <w:t xml:space="preserve">   </w:t>
            </w:r>
            <w:r>
              <w:rPr>
                <w:b w:val="0"/>
                <w:i/>
                <w:color w:val="55697E"/>
                <w:sz w:val="26"/>
              </w:rPr>
              <w:t>متابعة نزول الإعفاءات والضرائب</w:t>
            </w:r>
          </w:p>
        </w:tc>
      </w:tr>
    </w:tbl>
    <w:p>
      <w:pPr>
        <w:jc w:val="center"/>
      </w:pPr>
      <w:r>
        <w:drawing>
          <wp:inline xmlns:a="http://schemas.openxmlformats.org/drawingml/2006/main" xmlns:pic="http://schemas.openxmlformats.org/drawingml/2006/picture">
            <wp:extent cx="5669280" cy="2706128"/>
            <wp:docPr id="13" name="Picture 13"/>
            <wp:cNvGraphicFramePr>
              <a:graphicFrameLocks noChangeAspect="1"/>
            </wp:cNvGraphicFramePr>
            <a:graphic>
              <a:graphicData uri="http://schemas.openxmlformats.org/drawingml/2006/picture">
                <pic:pic>
                  <pic:nvPicPr>
                    <pic:cNvPr id="0" name="Screenshot 2026-08-22 091007.png"/>
                    <pic:cNvPicPr/>
                  </pic:nvPicPr>
                  <pic:blipFill>
                    <a:blip r:embed="rId19"/>
                    <a:stretch>
                      <a:fillRect/>
                    </a:stretch>
                  </pic:blipFill>
                  <pic:spPr>
                    <a:xfrm>
                      <a:off x="0" y="0"/>
                      <a:ext cx="5669280" cy="2706128"/>
                    </a:xfrm>
                    <a:prstGeom prst="rect"/>
                  </pic:spPr>
                </pic:pic>
              </a:graphicData>
            </a:graphic>
          </wp:inline>
        </w:drawing>
      </w:r>
    </w:p>
    <w:p>
      <w:pPr>
        <w:jc w:val="center"/>
      </w:pPr>
      <w:r>
        <w:rPr>
          <w:b w:val="0"/>
          <w:i/>
          <w:color w:val="55697E"/>
          <w:sz w:val="18"/>
        </w:rPr>
        <w:t>Figure 13: Monitoring Tax Exemptions &amp; Tax Updates — System View</w:t>
      </w:r>
    </w:p>
    <w:p>
      <w:r>
        <w:rPr>
          <w:b w:val="0"/>
          <w:i/>
          <w:color w:val="55697E"/>
          <w:sz w:val="22"/>
        </w:rPr>
        <w:t>Tax rates, exemptions and thresholds change over time. Finance must track approved official changes and apply each rule according to its effective date while preserving the version used for historical calculations.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Review applicable official updates.</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Record the new rule, source/reference and effective date.</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Validate and approve the change internally before use.</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Preserve the previous rule rather than overwriting it.</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Apply the new version only to transactions/periods for which it is effective.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Official notices, old/new rule values, effective dates, source references and approval history.</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An exemption threshold changes on October 1. September calculations remain linked to the old rule, while eligible October transactions automatically use the new version.</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14</w:t>
            </w:r>
          </w:p>
        </w:tc>
        <w:tc>
          <w:tcPr>
            <w:tcW w:type="dxa" w:w="4986"/>
            <w:tcMar>
              <w:top w:w="100" w:type="dxa"/>
              <w:bottom w:w="100" w:type="dxa"/>
              <w:start w:w="150" w:type="dxa"/>
              <w:end w:w="80" w:type="dxa"/>
            </w:tcMar>
          </w:tcPr>
          <w:p>
            <w:r>
              <w:rPr>
                <w:b/>
                <w:i w:val="0"/>
                <w:color w:val="1B4F82"/>
                <w:sz w:val="28"/>
              </w:rPr>
              <w:t>Fixed Expenses</w:t>
            </w:r>
            <w:r>
              <w:rPr>
                <w:b w:val="0"/>
                <w:i w:val="0"/>
                <w:sz w:val="20"/>
              </w:rPr>
              <w:t xml:space="preserve">   </w:t>
            </w:r>
            <w:r>
              <w:rPr>
                <w:b w:val="0"/>
                <w:i/>
                <w:color w:val="55697E"/>
                <w:sz w:val="26"/>
              </w:rPr>
              <w:t>المصاريف الثابتة</w:t>
            </w:r>
          </w:p>
        </w:tc>
      </w:tr>
    </w:tbl>
    <w:p>
      <w:pPr>
        <w:jc w:val="center"/>
      </w:pPr>
      <w:r>
        <w:drawing>
          <wp:inline xmlns:a="http://schemas.openxmlformats.org/drawingml/2006/main" xmlns:pic="http://schemas.openxmlformats.org/drawingml/2006/picture">
            <wp:extent cx="5669280" cy="2700220"/>
            <wp:docPr id="14" name="Picture 14"/>
            <wp:cNvGraphicFramePr>
              <a:graphicFrameLocks noChangeAspect="1"/>
            </wp:cNvGraphicFramePr>
            <a:graphic>
              <a:graphicData uri="http://schemas.openxmlformats.org/drawingml/2006/picture">
                <pic:pic>
                  <pic:nvPicPr>
                    <pic:cNvPr id="0" name="Screenshot 2026-08-22 090908.png"/>
                    <pic:cNvPicPr/>
                  </pic:nvPicPr>
                  <pic:blipFill>
                    <a:blip r:embed="rId18"/>
                    <a:stretch>
                      <a:fillRect/>
                    </a:stretch>
                  </pic:blipFill>
                  <pic:spPr>
                    <a:xfrm>
                      <a:off x="0" y="0"/>
                      <a:ext cx="5669280" cy="2700220"/>
                    </a:xfrm>
                    <a:prstGeom prst="rect"/>
                  </pic:spPr>
                </pic:pic>
              </a:graphicData>
            </a:graphic>
          </wp:inline>
        </w:drawing>
      </w:r>
    </w:p>
    <w:p>
      <w:pPr>
        <w:jc w:val="center"/>
      </w:pPr>
      <w:r>
        <w:rPr>
          <w:b w:val="0"/>
          <w:i/>
          <w:color w:val="55697E"/>
          <w:sz w:val="18"/>
        </w:rPr>
        <w:t>Figure 14: Fixed Expenses — System View</w:t>
      </w:r>
    </w:p>
    <w:p>
      <w:r>
        <w:rPr>
          <w:b w:val="0"/>
          <w:i/>
          <w:color w:val="55697E"/>
          <w:sz w:val="22"/>
        </w:rPr>
        <w:t>Fixed expenses are recurring costs whose amount or timing is predictable, such as rent, insurance, loan repayments and subscriptions. They form a baseline for budgeting, cash planning and variance analysis.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Register each fixed-expense commitment with amount, frequency and contract reference.</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Accrue or record the expense in the correct period, even if payment timing differs.</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Compare actual versus budgeted fixed costs and investigate material differences.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Track contract renewals, escalation clauses and expiry dates.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Include fixed expenses in the cash-flow forecast so that their payment dates are always visible.</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Contracts, lease agreements, loan schedules, insurance policies, subscription records and approval documentation.</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Monthly office rent of JOD 3,000 is accrued on the first of each month. Even if the landlord invoices late, the expense appears in the correct period's reports and cash forecast.</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15</w:t>
            </w:r>
          </w:p>
        </w:tc>
        <w:tc>
          <w:tcPr>
            <w:tcW w:type="dxa" w:w="4986"/>
            <w:tcMar>
              <w:top w:w="100" w:type="dxa"/>
              <w:bottom w:w="100" w:type="dxa"/>
              <w:start w:w="150" w:type="dxa"/>
              <w:end w:w="80" w:type="dxa"/>
            </w:tcMar>
          </w:tcPr>
          <w:p>
            <w:r>
              <w:rPr>
                <w:b/>
                <w:i w:val="0"/>
                <w:color w:val="1B4F82"/>
                <w:sz w:val="28"/>
              </w:rPr>
              <w:t>Reporting Concepts</w:t>
            </w:r>
            <w:r>
              <w:rPr>
                <w:b w:val="0"/>
                <w:i w:val="0"/>
                <w:sz w:val="20"/>
              </w:rPr>
              <w:t xml:space="preserve">   </w:t>
            </w:r>
            <w:r>
              <w:rPr>
                <w:b w:val="0"/>
                <w:i/>
                <w:color w:val="55697E"/>
                <w:sz w:val="26"/>
              </w:rPr>
              <w:t>التقارير</w:t>
            </w:r>
          </w:p>
        </w:tc>
      </w:tr>
    </w:tbl>
    <w:p>
      <w:pPr>
        <w:jc w:val="center"/>
      </w:pPr>
      <w:r>
        <w:drawing>
          <wp:inline xmlns:a="http://schemas.openxmlformats.org/drawingml/2006/main" xmlns:pic="http://schemas.openxmlformats.org/drawingml/2006/picture">
            <wp:extent cx="5669280" cy="2679540"/>
            <wp:docPr id="15" name="Picture 15"/>
            <wp:cNvGraphicFramePr>
              <a:graphicFrameLocks noChangeAspect="1"/>
            </wp:cNvGraphicFramePr>
            <a:graphic>
              <a:graphicData uri="http://schemas.openxmlformats.org/drawingml/2006/picture">
                <pic:pic>
                  <pic:nvPicPr>
                    <pic:cNvPr id="0" name="Screenshot 2026-08-22 090917.png"/>
                    <pic:cNvPicPr/>
                  </pic:nvPicPr>
                  <pic:blipFill>
                    <a:blip r:embed="rId20"/>
                    <a:stretch>
                      <a:fillRect/>
                    </a:stretch>
                  </pic:blipFill>
                  <pic:spPr>
                    <a:xfrm>
                      <a:off x="0" y="0"/>
                      <a:ext cx="5669280" cy="2679540"/>
                    </a:xfrm>
                    <a:prstGeom prst="rect"/>
                  </pic:spPr>
                </pic:pic>
              </a:graphicData>
            </a:graphic>
          </wp:inline>
        </w:drawing>
      </w:r>
    </w:p>
    <w:p>
      <w:pPr>
        <w:jc w:val="center"/>
      </w:pPr>
      <w:r>
        <w:rPr>
          <w:b w:val="0"/>
          <w:i/>
          <w:color w:val="55697E"/>
          <w:sz w:val="18"/>
        </w:rPr>
        <w:t>Figure 15: Reporting Concepts — System View</w:t>
      </w:r>
    </w:p>
    <w:p>
      <w:r>
        <w:rPr>
          <w:b w:val="0"/>
          <w:i/>
          <w:color w:val="55697E"/>
          <w:sz w:val="22"/>
        </w:rPr>
        <w:t>Financial reports summarize the company's financial position, performance and cash flow. Standard reports include the Balance Sheet, Income Statement (Profit &amp; Loss), Cash Flow Statement and Trial Balance. They serve management, auditors and regulators.</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Ensure all transactions for the period are posted, reconciled and approved.</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Generate the standard financial statements from the ledger.</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Verify internal consistency (e.g., the Balance Sheet must balance; the Trial Balance debits must equal credits).</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Review reports for completeness and reasonableness before distribution.</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Distribute to authorized stakeholders and archive the period's official reports.</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General ledger, sub-ledger balances, reconciliation status, prior-period comparatives and supporting schedules.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At month end, the system produces a Balance Sheet showing total assets equal total liabilities plus equity, an Income Statement showing net income, and a Trial Balance where total debits equal total credits.</w:t>
            </w:r>
          </w:p>
        </w:tc>
      </w:tr>
    </w:tbl>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0"/>
        <w:gridCol w:w="8504"/>
      </w:tblGrid>
      <w:tr>
        <w:tc>
          <w:tcPr>
            <w:tcW w:type="dxa" w:w="4986"/>
            <w:shd w:fill="1B4F82" w:val="clear"/>
            <w:tcMar>
              <w:top w:w="100" w:type="dxa"/>
              <w:bottom w:w="100" w:type="dxa"/>
              <w:start w:w="80" w:type="dxa"/>
              <w:end w:w="80" w:type="dxa"/>
            </w:tcMar>
          </w:tcPr>
          <w:p>
            <w:pPr>
              <w:jc w:val="center"/>
            </w:pPr>
            <w:r>
              <w:rPr>
                <w:b/>
                <w:i w:val="0"/>
                <w:color w:val="FFFFFF"/>
                <w:sz w:val="26"/>
              </w:rPr>
              <w:t>16</w:t>
            </w:r>
          </w:p>
        </w:tc>
        <w:tc>
          <w:tcPr>
            <w:tcW w:type="dxa" w:w="4986"/>
            <w:tcMar>
              <w:top w:w="100" w:type="dxa"/>
              <w:bottom w:w="100" w:type="dxa"/>
              <w:start w:w="150" w:type="dxa"/>
              <w:end w:w="80" w:type="dxa"/>
            </w:tcMar>
          </w:tcPr>
          <w:p>
            <w:r>
              <w:rPr>
                <w:b/>
                <w:i w:val="0"/>
                <w:color w:val="1B4F82"/>
                <w:sz w:val="28"/>
              </w:rPr>
              <w:t>Written Financial Policy</w:t>
            </w:r>
            <w:r>
              <w:rPr>
                <w:b w:val="0"/>
                <w:i w:val="0"/>
                <w:sz w:val="20"/>
              </w:rPr>
              <w:t xml:space="preserve">   </w:t>
            </w:r>
            <w:r>
              <w:rPr>
                <w:b w:val="0"/>
                <w:i/>
                <w:color w:val="55697E"/>
                <w:sz w:val="26"/>
              </w:rPr>
              <w:t>سياسة مالية مكتوبة</w:t>
            </w:r>
          </w:p>
        </w:tc>
      </w:tr>
    </w:tbl>
    <w:p>
      <w:pPr>
        <w:jc w:val="center"/>
      </w:pPr>
      <w:r>
        <w:drawing>
          <wp:inline xmlns:a="http://schemas.openxmlformats.org/drawingml/2006/main" xmlns:pic="http://schemas.openxmlformats.org/drawingml/2006/picture">
            <wp:extent cx="5669280" cy="2697266"/>
            <wp:docPr id="16" name="Picture 16"/>
            <wp:cNvGraphicFramePr>
              <a:graphicFrameLocks noChangeAspect="1"/>
            </wp:cNvGraphicFramePr>
            <a:graphic>
              <a:graphicData uri="http://schemas.openxmlformats.org/drawingml/2006/picture">
                <pic:pic>
                  <pic:nvPicPr>
                    <pic:cNvPr id="0" name="Screenshot 2026-08-22 091000.png"/>
                    <pic:cNvPicPr/>
                  </pic:nvPicPr>
                  <pic:blipFill>
                    <a:blip r:embed="rId21"/>
                    <a:stretch>
                      <a:fillRect/>
                    </a:stretch>
                  </pic:blipFill>
                  <pic:spPr>
                    <a:xfrm>
                      <a:off x="0" y="0"/>
                      <a:ext cx="5669280" cy="2697266"/>
                    </a:xfrm>
                    <a:prstGeom prst="rect"/>
                  </pic:spPr>
                </pic:pic>
              </a:graphicData>
            </a:graphic>
          </wp:inline>
        </w:drawing>
      </w:r>
    </w:p>
    <w:p>
      <w:pPr>
        <w:jc w:val="center"/>
      </w:pPr>
      <w:r>
        <w:rPr>
          <w:b w:val="0"/>
          <w:i/>
          <w:color w:val="55697E"/>
          <w:sz w:val="18"/>
        </w:rPr>
        <w:t>Figure 16: Written Financial Policy — System View</w:t>
      </w:r>
    </w:p>
    <w:p>
      <w:r>
        <w:rPr>
          <w:b w:val="0"/>
          <w:i/>
          <w:color w:val="55697E"/>
          <w:sz w:val="22"/>
        </w:rPr>
        <w:t>A written financial policy is a formal document that defines the rules, authority limits, procedures and standards that govern all financial activities. It provides the framework within which all other financial processes operate.</w:t>
      </w:r>
    </w:p>
    <w:p>
      <w:r>
        <w:rPr>
          <w:b/>
          <w:i w:val="0"/>
          <w:sz w:val="24"/>
        </w:rPr>
        <w:t>How It Works in Practice</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F2F5F9" w:val="clear"/>
            <w:tcMar>
              <w:top w:w="80" w:type="dxa"/>
              <w:bottom w:w="80" w:type="dxa"/>
              <w:start w:w="120" w:type="dxa"/>
              <w:end w:w="120" w:type="dxa"/>
            </w:tcMar>
          </w:tcPr>
          <w:p>
            <w:r>
              <w:rPr>
                <w:b/>
                <w:i w:val="0"/>
                <w:color w:val="1B4F82"/>
                <w:sz w:val="20"/>
              </w:rPr>
              <w:t>STEP 1</w:t>
            </w:r>
          </w:p>
          <w:p>
            <w:r>
              <w:rPr>
                <w:b w:val="0"/>
                <w:i w:val="0"/>
                <w:sz w:val="20"/>
              </w:rPr>
              <w:t>Draft policies covering key areas: approvals, procurement, expense limits, payroll, asset management and reporting.</w:t>
            </w:r>
          </w:p>
        </w:tc>
        <w:tc>
          <w:tcPr>
            <w:tcW w:type="dxa" w:w="4986"/>
            <w:shd w:fill="F2F5F9" w:val="clear"/>
            <w:tcMar>
              <w:top w:w="80" w:type="dxa"/>
              <w:bottom w:w="80" w:type="dxa"/>
              <w:start w:w="120" w:type="dxa"/>
              <w:end w:w="120" w:type="dxa"/>
            </w:tcMar>
          </w:tcPr>
          <w:p>
            <w:r>
              <w:rPr>
                <w:b/>
                <w:i w:val="0"/>
                <w:color w:val="1B4F82"/>
                <w:sz w:val="20"/>
              </w:rPr>
              <w:t>STEP 2</w:t>
            </w:r>
          </w:p>
          <w:p>
            <w:r>
              <w:rPr>
                <w:b w:val="0"/>
                <w:i w:val="0"/>
                <w:sz w:val="20"/>
              </w:rPr>
              <w:t>Align policies with applicable laws and regulations (e.g., Jordanian tax law, social security law, procurement law).</w:t>
            </w:r>
          </w:p>
        </w:tc>
      </w:tr>
      <w:tr>
        <w:tc>
          <w:tcPr>
            <w:tcW w:type="dxa" w:w="4986"/>
            <w:shd w:fill="F2F5F9" w:val="clear"/>
            <w:tcMar>
              <w:top w:w="80" w:type="dxa"/>
              <w:bottom w:w="80" w:type="dxa"/>
              <w:start w:w="120" w:type="dxa"/>
              <w:end w:w="120" w:type="dxa"/>
            </w:tcMar>
          </w:tcPr>
          <w:p>
            <w:r>
              <w:rPr>
                <w:b/>
                <w:i w:val="0"/>
                <w:color w:val="1B4F82"/>
                <w:sz w:val="20"/>
              </w:rPr>
              <w:t>STEP 3</w:t>
            </w:r>
          </w:p>
          <w:p>
            <w:r>
              <w:rPr>
                <w:b w:val="0"/>
                <w:i w:val="0"/>
                <w:sz w:val="20"/>
              </w:rPr>
              <w:t>Obtain management and board approval for each policy.</w:t>
            </w:r>
          </w:p>
        </w:tc>
        <w:tc>
          <w:tcPr>
            <w:tcW w:type="dxa" w:w="4986"/>
            <w:shd w:fill="F2F5F9" w:val="clear"/>
            <w:tcMar>
              <w:top w:w="80" w:type="dxa"/>
              <w:bottom w:w="80" w:type="dxa"/>
              <w:start w:w="120" w:type="dxa"/>
              <w:end w:w="120" w:type="dxa"/>
            </w:tcMar>
          </w:tcPr>
          <w:p>
            <w:r>
              <w:rPr>
                <w:b/>
                <w:i w:val="0"/>
                <w:color w:val="1B4F82"/>
                <w:sz w:val="20"/>
              </w:rPr>
              <w:t>STEP 4</w:t>
            </w:r>
          </w:p>
          <w:p>
            <w:r>
              <w:rPr>
                <w:b w:val="0"/>
                <w:i w:val="0"/>
                <w:sz w:val="20"/>
              </w:rPr>
              <w:t>Communicate policies to all relevant staff and incorporate them into system workflows.</w:t>
            </w:r>
          </w:p>
        </w:tc>
      </w:tr>
      <w:tr>
        <w:tc>
          <w:tcPr>
            <w:tcW w:type="dxa" w:w="4986"/>
            <w:shd w:fill="F2F5F9" w:val="clear"/>
            <w:tcMar>
              <w:top w:w="80" w:type="dxa"/>
              <w:bottom w:w="80" w:type="dxa"/>
              <w:start w:w="120" w:type="dxa"/>
              <w:end w:w="120" w:type="dxa"/>
            </w:tcMar>
          </w:tcPr>
          <w:p>
            <w:r>
              <w:rPr>
                <w:b/>
                <w:i w:val="0"/>
                <w:color w:val="1B4F82"/>
                <w:sz w:val="20"/>
              </w:rPr>
              <w:t>STEP 5</w:t>
            </w:r>
          </w:p>
          <w:p>
            <w:r>
              <w:rPr>
                <w:b w:val="0"/>
                <w:i w:val="0"/>
                <w:sz w:val="20"/>
              </w:rPr>
              <w:t>Review and update policies periodically or when regulations change, maintaining a version history.</w:t>
            </w:r>
          </w:p>
        </w:tc>
        <w:tc>
          <w:tcPr>
            <w:tcW w:type="dxa" w:w="4986"/>
            <w:shd w:fill="F2F5F9" w:val="clear"/>
          </w:tcPr>
          <w:p/>
        </w:tc>
      </w:tr>
    </w:tbl>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86"/>
        <w:gridCol w:w="4986"/>
      </w:tblGrid>
      <w:tr>
        <w:tc>
          <w:tcPr>
            <w:tcW w:type="dxa" w:w="4986"/>
            <w:shd w:fill="EDF2F8" w:val="clear"/>
            <w:tcMar>
              <w:top w:w="100" w:type="dxa"/>
              <w:bottom w:w="100" w:type="dxa"/>
              <w:start w:w="120" w:type="dxa"/>
              <w:end w:w="120" w:type="dxa"/>
            </w:tcMar>
          </w:tcPr>
          <w:p>
            <w:r>
              <w:rPr>
                <w:b/>
                <w:i w:val="0"/>
                <w:color w:val="1B4F82"/>
                <w:sz w:val="20"/>
              </w:rPr>
              <w:t>Key Data &amp; Documents</w:t>
            </w:r>
          </w:p>
          <w:p>
            <w:r>
              <w:rPr>
                <w:b w:val="0"/>
                <w:i w:val="0"/>
                <w:sz w:val="20"/>
              </w:rPr>
              <w:t>Policy documents, approval records, version history, regulatory references and compliance checklists.</w:t>
            </w:r>
          </w:p>
        </w:tc>
        <w:tc>
          <w:tcPr>
            <w:tcW w:type="dxa" w:w="4986"/>
            <w:shd w:fill="E7F0FA" w:val="clear"/>
            <w:tcMar>
              <w:top w:w="100" w:type="dxa"/>
              <w:bottom w:w="100" w:type="dxa"/>
              <w:start w:w="120" w:type="dxa"/>
              <w:end w:w="120" w:type="dxa"/>
            </w:tcMar>
          </w:tcPr>
          <w:p>
            <w:r>
              <w:rPr>
                <w:b/>
                <w:i w:val="0"/>
                <w:color w:val="1B4F82"/>
                <w:sz w:val="20"/>
              </w:rPr>
              <w:t>Practical Example</w:t>
            </w:r>
          </w:p>
          <w:p>
            <w:r>
              <w:rPr>
                <w:b w:val="0"/>
                <w:i w:val="0"/>
                <w:sz w:val="20"/>
              </w:rPr>
              <w:t>The Disbursement Policy states that any payment above JOD 1,000 requires Finance Manager sign-off and above JOD 10,000 requires dual signature of the Managing Director and CFO. The system enforces these thresholds automatically.</w:t>
            </w:r>
          </w:p>
        </w:tc>
      </w:tr>
    </w:tbl>
    <w:p/>
    <w:p>
      <w:pPr>
        <w:pStyle w:val="Heading1"/>
      </w:pPr>
      <w:r>
        <w:t>How the Topics Connect</w:t>
      </w:r>
    </w:p>
    <w:p>
      <w:r>
        <w:t>The sixteen topics above are not independent tasks; they form an interconnected financial management system. The Business Plan (1) sets the targets that Budgeting and Forecasting measure against. Account Management (3) provides the Chart of Accounts structure used by every other module. Account Reconciliation (2) validates the data that feeds into Reporting (15). Internal Controls (4) govern the approval flows across all processes. Cash Flow (6) depends on Payroll (12), Fixed Expenses (14), and Accounts Payable data. Social Security (7), Income Tax (8), Deductions (11) and Tax Monitoring (13) collectively form the compliance layer. Fixed Assets (9) feeds both the Balance Sheet reports and depreciation expenses. Expense Classification (10) ensures costs are categorized correctly for all reporting. Tender Auditing (5) controls procurement spending. Finally, Written Financial Policy (16) provides the governance framework within which all other processes operate.</w:t>
      </w:r>
    </w:p>
    <w:p>
      <w:pPr>
        <w:pStyle w:val="Heading1"/>
      </w:pPr>
      <w:r>
        <w:t>Closing Note &amp; Next Step</w:t>
      </w:r>
    </w:p>
    <w:p>
      <w:r>
        <w:t>This research document provides the foundational understanding required to write detailed software requirements for the Financial Management module. The next step is to translate each topic's processes, data elements and business rules into specific functional requirements, wireframes and acceptance criteria.</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