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4"/>
        </w:rPr>
        <w:t>QuickBox Financial &amp; Inventory System</w:t>
      </w:r>
    </w:p>
    <w:p>
      <w:pPr>
        <w:spacing w:before="0" w:after="280"/>
      </w:pPr>
      <w:r>
        <w:rPr>
          <w:rFonts w:ascii="Arial" w:hAnsi="Arial"/>
          <w:i/>
          <w:color w:val="2B6CB0"/>
          <w:sz w:val="23"/>
        </w:rPr>
        <w:t>Arabic/English Internationalization (i18n) &amp; Right-to-Left (RTL) Technical Implementation Plan</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316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Metadata Attribute</w:t>
            </w:r>
          </w:p>
        </w:tc>
        <w:tc>
          <w:tcPr>
            <w:tcW w:type="dxa" w:w="648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Project Specification / Architectural Scope</w:t>
            </w:r>
          </w:p>
        </w:tc>
      </w:tr>
      <w:tr>
        <w:trPr>
          <w:cantSplit/>
        </w:trPr>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Document Title</w:t>
            </w:r>
          </w:p>
        </w:tc>
        <w:tc>
          <w:tcPr>
            <w:tcW w:type="dxa" w:w="64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QuickBox Arabic/English i18n &amp; RTL Master Implementation Plan</w:t>
            </w:r>
          </w:p>
        </w:tc>
      </w:tr>
      <w:tr>
        <w:trPr>
          <w:cantSplit/>
        </w:trPr>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Target Codebase</w:t>
            </w:r>
          </w:p>
        </w:tc>
        <w:tc>
          <w:tcPr>
            <w:tcW w:type="dxa" w:w="64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react-dashboard/ (React 19.2 + Vite 8.1 + react-i18next 15.4)</w:t>
            </w:r>
          </w:p>
        </w:tc>
      </w:tr>
      <w:tr>
        <w:trPr>
          <w:cantSplit/>
        </w:trPr>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Scope of Work</w:t>
            </w:r>
          </w:p>
        </w:tc>
        <w:tc>
          <w:tcPr>
            <w:tcW w:type="dxa" w:w="64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51 React Components (16 Inventory, 27 Finance, 6 Shell, 2 Context Engines)</w:t>
            </w:r>
          </w:p>
        </w:tc>
      </w:tr>
      <w:tr>
        <w:trPr>
          <w:cantSplit/>
        </w:trPr>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Supported Locales</w:t>
            </w:r>
          </w:p>
        </w:tc>
        <w:tc>
          <w:tcPr>
            <w:tcW w:type="dxa" w:w="64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English (en - US Default, LTR) &amp; Arabic (ar - JO Jordanian Locale, RTL)</w:t>
            </w:r>
          </w:p>
        </w:tc>
      </w:tr>
      <w:tr>
        <w:trPr>
          <w:cantSplit/>
        </w:trPr>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Regulatory Frameworks</w:t>
            </w:r>
          </w:p>
        </w:tc>
        <w:tc>
          <w:tcPr>
            <w:tcW w:type="dxa" w:w="64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Central Bank of Jordan (CBJ), JoPACC (CliQ/ACH), WPS SIF (Labour), ISTD &amp; SSC</w:t>
            </w:r>
          </w:p>
        </w:tc>
      </w:tr>
      <w:tr>
        <w:trPr>
          <w:cantSplit/>
        </w:trPr>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Architecture Standard</w:t>
            </w:r>
          </w:p>
        </w:tc>
        <w:tc>
          <w:tcPr>
            <w:tcW w:type="dxa" w:w="64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react-i18next + Vite Dynamic Chunking + CSS Logical Properties + BiDi Isolation</w:t>
            </w:r>
          </w:p>
        </w:tc>
      </w:tr>
      <w:tr>
        <w:trPr>
          <w:cantSplit/>
        </w:trPr>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Target Audience</w:t>
            </w:r>
          </w:p>
        </w:tc>
        <w:tc>
          <w:tcPr>
            <w:tcW w:type="dxa" w:w="64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Full-Stack Developers, UI/UX Engineers, Financial QA Auditors, Translators</w:t>
            </w:r>
          </w:p>
        </w:tc>
      </w:tr>
      <w:tr>
        <w:trPr>
          <w:cantSplit/>
        </w:trPr>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Document Classification</w:t>
            </w:r>
          </w:p>
        </w:tc>
        <w:tc>
          <w:tcPr>
            <w:tcW w:type="dxa" w:w="64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Confidential -- Technical Handover Specification (Version 1.0 Final)</w:t>
            </w:r>
          </w:p>
        </w:tc>
      </w:tr>
    </w:tbl>
    <w:p>
      <w:pPr>
        <w:spacing w:before="0" w:after="60"/>
      </w:pPr>
    </w:p>
    <w:p>
      <w:pPr>
        <w:keepNext/>
        <w:spacing w:before="280" w:after="80"/>
      </w:pPr>
      <w:r>
        <w:rPr>
          <w:rFonts w:ascii="Arial" w:hAnsi="Arial"/>
          <w:b/>
          <w:color w:val="1A365D"/>
          <w:sz w:val="29"/>
        </w:rPr>
        <w:t>1. Executive Summary &amp; Codebase Architecture Overview</w:t>
      </w:r>
    </w:p>
    <w:p>
      <w:pPr>
        <w:spacing w:before="0" w:after="80" w:line="276" w:lineRule="auto"/>
      </w:pPr>
      <w:r>
        <w:rPr>
          <w:rFonts w:ascii="Calibri" w:hAnsi="Calibri"/>
          <w:i w:val="0"/>
          <w:color w:val="2D3748"/>
          <w:sz w:val="20"/>
        </w:rPr>
        <w:t>The QuickBox Financial &amp; Inventory Management System is an enterprise Single-Page Application (SPA) designed for high-throughput hospitality and corporate operations in Jordan and the wider MENA region. The frontend is built on React 19.2 paired with Vite 8.1, leveraging modular domain state managed via React Context (InventoryContext and FinanceContext). The interface spans 51 distinct JS/JSX components encompassing 21,989 lines of code, serving two core operational pillars: Inventory Control and Financial Accounting.</w:t>
      </w:r>
    </w:p>
    <w:p>
      <w:pPr>
        <w:spacing w:before="0" w:after="80" w:line="276" w:lineRule="auto"/>
      </w:pPr>
      <w:r>
        <w:rPr>
          <w:rFonts w:ascii="Calibri" w:hAnsi="Calibri"/>
          <w:i w:val="0"/>
          <w:color w:val="2D3748"/>
          <w:sz w:val="20"/>
        </w:rPr>
        <w:t>This document establishes an exhaustive, production-grade technical blueprint for implementing full bilingual capabilities (English and Arabic) with seamless Right-to-Left (RTL) layout switching. The architecture is engineered to guarantee zero runtime performance regression for English users, deterministic layout state synchronization, strict compliance with Jordanian banking regulatory standards, and isolated print/export workflows.</w:t>
      </w:r>
    </w:p>
    <w:p>
      <w:pPr>
        <w:keepNext/>
        <w:spacing w:before="200" w:after="60"/>
      </w:pPr>
      <w:r>
        <w:rPr>
          <w:rFonts w:ascii="Arial" w:hAnsi="Arial"/>
          <w:b/>
          <w:color w:val="2B6CB0"/>
          <w:sz w:val="24"/>
        </w:rPr>
        <w:t>1.1 System Surface Area &amp; Codebase Inventory</w:t>
      </w:r>
    </w:p>
    <w:p>
      <w:pPr>
        <w:spacing w:before="0" w:after="80" w:line="276" w:lineRule="auto"/>
      </w:pPr>
      <w:r>
        <w:rPr>
          <w:rFonts w:ascii="Calibri" w:hAnsi="Calibri"/>
          <w:i w:val="0"/>
          <w:color w:val="2D3748"/>
          <w:sz w:val="20"/>
        </w:rPr>
        <w:t>An exhaustive audit of the src/ directory identified 51 active source files distributed across four distinct architectural tiers: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Domain / Architectural Tier</w:t>
            </w:r>
          </w:p>
        </w:tc>
        <w:tc>
          <w:tcPr>
            <w:tcW w:type="dxa" w:w="172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Directory Path</w:t>
            </w:r>
          </w:p>
        </w:tc>
        <w:tc>
          <w:tcPr>
            <w:tcW w:type="dxa" w:w="115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File Count</w:t>
            </w:r>
          </w:p>
        </w:tc>
        <w:tc>
          <w:tcPr>
            <w:tcW w:type="dxa" w:w="129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Lines of Code</w:t>
            </w:r>
          </w:p>
        </w:tc>
        <w:tc>
          <w:tcPr>
            <w:tcW w:type="dxa" w:w="331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Functional Description &amp; Role</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Shared Infrastructure &amp; Shell</w:t>
            </w:r>
          </w:p>
        </w:tc>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src/components/</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 files</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1,027 lines</w:t>
            </w:r>
          </w:p>
        </w:tc>
        <w:tc>
          <w:tcPr>
            <w:tcW w:type="dxa" w:w="331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 Topbar, Layout, Filters, Pagination, InventoryTable, ReservationsTable, ToastNotification, ErrorBoundary</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&amp; Operational Views</w:t>
            </w:r>
          </w:p>
        </w:tc>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src/pages/</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 files</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2,042 lines</w:t>
            </w:r>
          </w:p>
        </w:tc>
        <w:tc>
          <w:tcPr>
            <w:tcW w:type="dxa" w:w="331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 InventoryView, StockOpsView, RopAlertsView, AuditLogsView, ReportsView, PurchaseOrdersView, SuppliersView, SettingsView</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 &amp; Accounting Views</w:t>
            </w:r>
          </w:p>
        </w:tc>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src/pages/finance/</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27 files</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14,880 lines</w:t>
            </w:r>
          </w:p>
        </w:tc>
        <w:tc>
          <w:tcPr>
            <w:tcW w:type="dxa" w:w="331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11 Core Financial Views (GL, AP, AR, Matching, Valuation, Assets, Statements, Cash Flow), 6 Jordanian Research Views, 10 Tax/Payroll Engines</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Global State Management</w:t>
            </w:r>
          </w:p>
        </w:tc>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src/context/</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 files</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3,892 lines</w:t>
            </w:r>
          </w:p>
        </w:tc>
        <w:tc>
          <w:tcPr>
            <w:tcW w:type="dxa" w:w="331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FinanceContext.jsx (comprehensive dummy state, ledger dispatchers), InventoryContext.jsx (stock movements, alerts)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Application Bootstrap &amp; Routing</w:t>
            </w:r>
          </w:p>
        </w:tc>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 files</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148 lines</w:t>
            </w:r>
          </w:p>
        </w:tc>
        <w:tc>
          <w:tcPr>
            <w:tcW w:type="dxa" w:w="331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App.jsx (Router hierarchy, context providers), main.jsx (root DOM mount)</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TOTAL SYSTEM SURFACE AREA</w:t>
            </w:r>
          </w:p>
        </w:tc>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51 files</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21,989 lines</w:t>
            </w:r>
          </w:p>
        </w:tc>
        <w:tc>
          <w:tcPr>
            <w:tcW w:type="dxa" w:w="331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Complete enterprise application footprint targeted for full localization</w:t>
            </w:r>
          </w:p>
        </w:tc>
      </w:tr>
    </w:tbl>
    <w:p>
      <w:pPr>
        <w:spacing w:before="0" w:after="60"/>
      </w:pPr>
    </w:p>
    <w:p>
      <w:pPr>
        <w:keepNext/>
        <w:spacing w:before="200" w:after="60"/>
      </w:pPr>
      <w:r>
        <w:rPr>
          <w:rFonts w:ascii="Arial" w:hAnsi="Arial"/>
          <w:b/>
          <w:color w:val="2B6CB0"/>
          <w:sz w:val="24"/>
        </w:rPr>
        <w:t>1.2 Regulatory &amp; Banking Integration Context</w:t>
      </w:r>
    </w:p>
    <w:p>
      <w:pPr>
        <w:spacing w:before="0" w:after="80" w:line="276" w:lineRule="auto"/>
      </w:pPr>
      <w:r>
        <w:rPr>
          <w:rFonts w:ascii="Calibri" w:hAnsi="Calibri"/>
          <w:i w:val="0"/>
          <w:color w:val="2D3748"/>
          <w:sz w:val="20"/>
        </w:rPr>
        <w:t>Unlike generic consumer applications, QuickBox is tightly integrated with Jordanian financial systems and regulatory clearing houses. Internationalization decisions must strictly comply with mandatory government and banking protocols:</w:t>
      </w:r>
    </w:p>
    <w:p>
      <w:pPr>
        <w:pStyle w:val="ListBullet"/>
        <w:spacing w:before="0" w:after="40" w:line="276" w:lineRule="auto"/>
      </w:pPr>
      <w:r>
        <w:rPr>
          <w:rFonts w:ascii="Calibri" w:hAnsi="Calibri"/>
          <w:color w:val="2D3748"/>
          <w:sz w:val="19"/>
        </w:rPr>
        <w:t>Central Bank of Jordan (CBJ) &amp; JoPACC Clearing Networks: Automated Clearing House (ACH), Electronic Cheque Collection Unit (ECCU), and CliQ Instant Payment networks enforce strict ISO 20022 and delimited ASCII messaging where bank account numbers, IBANs, and transaction amounts MUST use Western Arabic digits (0-9). Eastern Arabic digits (???) are strictly prohibited and cause transaction drops.</w:t>
      </w:r>
    </w:p>
    <w:p>
      <w:pPr>
        <w:pStyle w:val="ListBullet"/>
        <w:spacing w:before="0" w:after="40" w:line="276" w:lineRule="auto"/>
      </w:pPr>
      <w:r>
        <w:rPr>
          <w:rFonts w:ascii="Calibri" w:hAnsi="Calibri"/>
          <w:color w:val="2D3748"/>
          <w:sz w:val="19"/>
        </w:rPr>
        <w:t>Jordan Wage Protection System (WPS SIF): Ministry of Labour electronic payroll compliance requires fixed-format SIF text files. Salary figures, National IDs, Social Security numbers, and allowance amounts must be rendered exclusively in Latin ASCII digits.</w:t>
      </w:r>
    </w:p>
    <w:p>
      <w:pPr>
        <w:pStyle w:val="ListBullet"/>
        <w:spacing w:before="0" w:after="40" w:line="276" w:lineRule="auto"/>
      </w:pPr>
      <w:r>
        <w:rPr>
          <w:rFonts w:ascii="Calibri" w:hAnsi="Calibri"/>
          <w:color w:val="2D3748"/>
          <w:sz w:val="19"/>
        </w:rPr>
        <w:t>Income &amp; Sales Tax Department (ISTD): Compliance with Jordanian Income Tax Law No. 34 of 2014 and General Sales Tax Law No. 6 of 1994 necessitates exact progressive tax bracket calculations (5% to 30%), standard 16% sales tax formulas, and Tax Identification Number (TIN/TRN) isolation.</w:t>
      </w:r>
    </w:p>
    <w:p>
      <w:pPr>
        <w:pStyle w:val="ListBullet"/>
        <w:spacing w:before="0" w:after="40" w:line="276" w:lineRule="auto"/>
      </w:pPr>
      <w:r>
        <w:rPr>
          <w:rFonts w:ascii="Calibri" w:hAnsi="Calibri"/>
          <w:color w:val="2D3748"/>
          <w:sz w:val="19"/>
        </w:rPr>
        <w:t>Social Security Corporation (SSC): Calculations following Jordanian Social Security Law No. 1 of 2014 (14.25% employer share, 7.5% employee share, 1% hazardous occupation addon) requiring precise three-decimal JOD precision (e.g., 1,250.750 ?.?).</w:t>
      </w:r>
    </w:p>
    <w:p>
      <w:pPr>
        <w:keepNext/>
        <w:spacing w:before="200" w:after="60"/>
      </w:pPr>
      <w:r>
        <w:rPr>
          <w:rFonts w:ascii="Arial" w:hAnsi="Arial"/>
          <w:b/>
          <w:color w:val="2B6CB0"/>
          <w:sz w:val="24"/>
        </w:rPr>
        <w:t>1.3 Core Architectural Tenets</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Design Tenet</w:t>
            </w:r>
          </w:p>
        </w:tc>
        <w:tc>
          <w:tcPr>
            <w:tcW w:type="dxa" w:w="288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Architectural Standard</w:t>
            </w:r>
          </w:p>
        </w:tc>
        <w:tc>
          <w:tcPr>
            <w:tcW w:type="dxa" w:w="460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Engineering Rationale</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 Zero Runtime Regression</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Zero font payload for English; dynamic namespace chunking</w:t>
            </w:r>
          </w:p>
        </w:tc>
        <w:tc>
          <w:tcPr>
            <w:tcW w:type="dxa" w:w="460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English users must not incur bandwidth overhead from Arabic webfonts (~280KB) or preloaded Arabic JSON dictionaries.</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 Deterministic State Sync</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Atomic document.documentElement dir/lang sync</w:t>
            </w:r>
          </w:p>
        </w:tc>
        <w:tc>
          <w:tcPr>
            <w:tcW w:type="dxa" w:w="460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Eliminates layout shifts (CLS), ensures seamless CSS logical property evaluation, and aligns screen reader accessibility trees.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 Simple Pluralization</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 Single Translated Word pattern</w:t>
            </w:r>
          </w:p>
        </w:tc>
        <w:tc>
          <w:tcPr>
            <w:tcW w:type="dxa" w:w="460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Bypasses the 6-tier Arabic ICU plural complexity (zero, one, two, few, many, other) while maintaining 100% natural, professional UI phrasing.</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4. Western Numerals Mandate</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Intl.NumberFormat with u-nu-latn extension</w:t>
            </w:r>
          </w:p>
        </w:tc>
        <w:tc>
          <w:tcPr>
            <w:tcW w:type="dxa" w:w="460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Prevents banking parse failures and maintains numerical consistency across Jordan JoPACC, WPS SIF, and accounting ledger tables.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5. Isolated Bilingual Print Sandbox</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Offscreen hidden iframe with dynamic lang override</w:t>
            </w:r>
          </w:p>
        </w:tc>
        <w:tc>
          <w:tcPr>
            <w:tcW w:type="dxa" w:w="460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Allows generating invoices and reports in either Arabic or English on-the-fly without mutating the active dashboard UI state.</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6. CSS Logical Property Standard</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100% replacement of physical directional CSS rules</w:t>
            </w:r>
          </w:p>
        </w:tc>
        <w:tc>
          <w:tcPr>
            <w:tcW w:type="dxa" w:w="460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Replaces margin-left, padding-right, border-left, right:0 with margin-inline-start, inset-inline-end, etc., for effortless BiDi mirroring.</w:t>
            </w:r>
          </w:p>
        </w:tc>
      </w:tr>
    </w:tbl>
    <w:p>
      <w:pPr>
        <w:spacing w:before="0" w:after="60"/>
      </w:pPr>
    </w:p>
    <w:tbl>
      <w:tblPr>
        <w:tblW w:type="auto" w:w="0"/>
        <w:jc w:val="center"/>
        <w:tblLayout w:type="fixed"/>
        <w:tblLook w:firstColumn="1" w:firstRow="1" w:lastColumn="0" w:lastRow="0" w:noHBand="0" w:noVBand="1" w:val="04A0"/>
      </w:tblPr>
      <w:tblGrid>
        <w:gridCol w:w="9648"/>
      </w:tblGrid>
      <w:tr>
        <w:tc>
          <w:tcPr>
            <w:tcW w:type="dxa" w:w="9648"/>
            <w:shd w:fill="EBF8FF"/>
            <w:tcMar>
              <w:top w:w="100" w:type="dxa"/>
              <w:bottom w:w="100" w:type="dxa"/>
              <w:left w:w="160" w:type="dxa"/>
              <w:right w:w="160" w:type="dxa"/>
            </w:tcMar>
            <w:tcBorders>
              <w:top w:val="none"/>
              <w:left w:val="single" w:sz="24" w:space="0" w:color="2B6CB0"/>
              <w:bottom w:val="none"/>
              <w:right w:val="none"/>
            </w:tcBorders>
          </w:tcPr>
          <w:p>
            <w:pPr>
              <w:spacing w:before="0" w:after="40" w:line="276" w:lineRule="auto"/>
            </w:pPr>
            <w:r>
              <w:rPr>
                <w:rFonts w:ascii="Arial" w:hAnsi="Arial"/>
                <w:b/>
                <w:color w:val="2B6CB0"/>
                <w:sz w:val="20"/>
              </w:rPr>
              <w:t>SUPERVISOR ARCHITECTURAL DIRECTIVE</w:t>
              <w:br/>
            </w:r>
            <w:r>
              <w:rPr>
                <w:rFonts w:ascii="Calibri" w:hAnsi="Calibri"/>
                <w:color w:val="2D3748"/>
                <w:sz w:val="19"/>
              </w:rPr>
              <w:t>Every code change across all 51 components must strictly uphold the minimal change principle. Legacy component state structures in FinanceContext and InventoryContext must remain intact. Do not introduce refactoring outside the localized presentation layer.</w:t>
            </w:r>
          </w:p>
        </w:tc>
      </w:tr>
    </w:tbl>
    <w:p>
      <w:pPr>
        <w:spacing w:before="0" w:after="60"/>
      </w:pPr>
    </w:p>
    <w:p>
      <w:pPr>
        <w:keepNext/>
        <w:spacing w:before="280" w:after="80"/>
      </w:pPr>
      <w:r>
        <w:rPr>
          <w:rFonts w:ascii="Arial" w:hAnsi="Arial"/>
          <w:b/>
          <w:color w:val="1A365D"/>
          <w:sz w:val="29"/>
        </w:rPr>
        <w:t>2. Architectural Decisions &amp; Core Engineering Patterns</w:t>
      </w:r>
    </w:p>
    <w:p>
      <w:pPr>
        <w:spacing w:before="0" w:after="80" w:line="276" w:lineRule="auto"/>
      </w:pPr>
      <w:r>
        <w:rPr>
          <w:rFonts w:ascii="Calibri" w:hAnsi="Calibri"/>
          <w:i w:val="0"/>
          <w:color w:val="2D3748"/>
          <w:sz w:val="20"/>
        </w:rPr>
        <w:t>The internationalization architecture for QuickBox has been formulated through rigorous technical investigation to balance developer ergonomics, bundle performance, regulatory requirements, and user experience. Below are the six fundamental architectural decisions governing the implementation.</w:t>
      </w:r>
    </w:p>
    <w:p>
      <w:pPr>
        <w:keepNext/>
        <w:spacing w:before="200" w:after="60"/>
      </w:pPr>
      <w:r>
        <w:rPr>
          <w:rFonts w:ascii="Arial" w:hAnsi="Arial"/>
          <w:b/>
          <w:color w:val="2B6CB0"/>
          <w:sz w:val="24"/>
        </w:rPr>
        <w:t>2.1 Simple Pluralization Architecture (Supervisor Decision 1)</w:t>
      </w:r>
    </w:p>
    <w:p>
      <w:pPr>
        <w:spacing w:before="0" w:after="80" w:line="276" w:lineRule="auto"/>
      </w:pPr>
      <w:r>
        <w:rPr>
          <w:rFonts w:ascii="Calibri" w:hAnsi="Calibri"/>
          <w:i w:val="0"/>
          <w:color w:val="2D3748"/>
          <w:sz w:val="20"/>
        </w:rPr>
        <w:t>In classical Arabic grammar, pluralization follows a complex 6-form system (zero / sifr, one / mufrad, two / muthanna, 3-10 / jam' qillah, 11-99 / jam' kathrah, 100+ / mutanaqqis). Implementing ICU MessageFormat rules for 6-tier Arabic pluralization across all 51 components introduces severe code bloat, fragile JSON translation schemas, and increased translator friction.</w:t>
      </w:r>
    </w:p>
    <w:p>
      <w:pPr>
        <w:spacing w:before="0" w:after="80" w:line="276" w:lineRule="auto"/>
      </w:pPr>
      <w:r>
        <w:rPr>
          <w:rFonts w:ascii="Calibri" w:hAnsi="Calibri"/>
          <w:i w:val="0"/>
          <w:color w:val="2D3748"/>
          <w:sz w:val="20"/>
        </w:rPr>
        <w:t>As mandated by architectural decision #1, QuickBox implements a streamlined pluralization standard: Western Numeral + Single Translated Noun. The integer variable `{{count}}` is interpolated directly alongside a concise, grammatically neutral Arabic noun.</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UI Context</w:t>
            </w:r>
          </w:p>
        </w:tc>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English Source</w:t>
            </w:r>
          </w:p>
        </w:tc>
        <w:tc>
          <w:tcPr>
            <w:tcW w:type="dxa" w:w="288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Complex 6-Tier Arabic (Rejected)</w:t>
            </w:r>
          </w:p>
        </w:tc>
        <w:tc>
          <w:tcPr>
            <w:tcW w:type="dxa" w:w="244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QuickBox Streamlined Standard (Adopted)</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Customer Counter</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items</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0 ????? / ???? ???? / ?????? / 3 ????? / 15 ??????</w:t>
            </w:r>
          </w:p>
        </w:tc>
        <w:tc>
          <w:tcPr>
            <w:tcW w:type="dxa" w:w="244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 Stock Alerts</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Low Stock Alerts</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0 ??????? / ????? ???? / ??????? / 4 ???????...</w:t>
            </w:r>
          </w:p>
        </w:tc>
        <w:tc>
          <w:tcPr>
            <w:tcW w:type="dxa" w:w="244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Pending Invoices</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pending bills</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 5 ??????...</w:t>
            </w:r>
          </w:p>
        </w:tc>
        <w:tc>
          <w:tcPr>
            <w:tcW w:type="dxa" w:w="244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Batch Items</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Items in Batch</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0 ????? / ???? / ?????? / 7 ?????...</w:t>
            </w:r>
          </w:p>
        </w:tc>
        <w:tc>
          <w:tcPr>
            <w:tcW w:type="dxa" w:w="244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 ?? ??????</w:t>
            </w:r>
          </w:p>
        </w:tc>
      </w:tr>
    </w:tbl>
    <w:p>
      <w:pPr>
        <w:spacing w:before="0" w:after="60"/>
      </w:pPr>
    </w:p>
    <w:tbl>
      <w:tblPr>
        <w:tblW w:type="auto" w:w="0"/>
        <w:jc w:val="center"/>
        <w:tblLayout w:type="fixed"/>
        <w:tblLook w:firstColumn="1" w:firstRow="1" w:lastColumn="0" w:lastRow="0" w:noHBand="0" w:noVBand="1" w:val="04A0"/>
      </w:tblPr>
      <w:tblGrid>
        <w:gridCol w:w="9648"/>
      </w:tblGrid>
      <w:tr>
        <w:tc>
          <w:tcPr>
            <w:tcW w:type="dxa" w:w="9648"/>
            <w:shd w:fill="F0FDF4"/>
            <w:tcMar>
              <w:top w:w="100" w:type="dxa"/>
              <w:bottom w:w="100" w:type="dxa"/>
              <w:left w:w="160" w:type="dxa"/>
              <w:right w:w="160" w:type="dxa"/>
            </w:tcMar>
            <w:tcBorders>
              <w:top w:val="none"/>
              <w:left w:val="single" w:sz="24" w:space="0" w:color="16A34A"/>
              <w:bottom w:val="none"/>
              <w:right w:val="none"/>
            </w:tcBorders>
          </w:tcPr>
          <w:p>
            <w:pPr>
              <w:spacing w:before="0" w:after="40" w:line="276" w:lineRule="auto"/>
            </w:pPr>
            <w:r>
              <w:rPr>
                <w:rFonts w:ascii="Arial" w:hAnsi="Arial"/>
                <w:b/>
                <w:color w:val="166534"/>
                <w:sz w:val="20"/>
              </w:rPr>
              <w:t>PLURALIZATION ARCHITECTURAL BENEFIT</w:t>
              <w:br/>
            </w:r>
            <w:r>
              <w:rPr>
                <w:rFonts w:ascii="Calibri" w:hAnsi="Calibri"/>
                <w:color w:val="2D3748"/>
                <w:sz w:val="19"/>
              </w:rPr>
              <w:t>This pattern reduces translation key complexity by 83% across the codebase, eliminates heavy ICU runtime parsers, and ensures 100% predictable string layout in tight KPI metric cards and table badges.</w:t>
            </w:r>
          </w:p>
        </w:tc>
      </w:tr>
    </w:tbl>
    <w:p>
      <w:pPr>
        <w:spacing w:before="0" w:after="60"/>
      </w:pPr>
    </w:p>
    <w:p>
      <w:pPr>
        <w:keepNext/>
        <w:spacing w:before="200" w:after="60"/>
      </w:pPr>
      <w:r>
        <w:rPr>
          <w:rFonts w:ascii="Arial" w:hAnsi="Arial"/>
          <w:b/>
          <w:color w:val="2B6CB0"/>
          <w:sz w:val="24"/>
        </w:rPr>
        <w:t>2.2 Route-Based Namespace Chunking with Vite Dynamic Import Backend</w:t>
      </w:r>
    </w:p>
    <w:p>
      <w:pPr>
        <w:spacing w:before="0" w:after="80" w:line="276" w:lineRule="auto"/>
      </w:pPr>
      <w:r>
        <w:rPr>
          <w:rFonts w:ascii="Calibri" w:hAnsi="Calibri"/>
          <w:i w:val="0"/>
          <w:color w:val="2D3748"/>
          <w:sz w:val="20"/>
        </w:rPr>
        <w:t>To prevent loading a single massive 120KB+ monolithic translation dictionary on application startup, translation strings are partitioned into 7 modular namespaces:</w:t>
      </w:r>
    </w:p>
    <w:p>
      <w:pPr>
        <w:pStyle w:val="ListBullet"/>
        <w:spacing w:before="0" w:after="40" w:line="276" w:lineRule="auto"/>
      </w:pPr>
      <w:r>
        <w:rPr>
          <w:rFonts w:ascii="Calibri" w:hAnsi="Calibri"/>
          <w:color w:val="2D3748"/>
          <w:sz w:val="19"/>
        </w:rPr>
        <w:t>common.json: Global buttons, modal actions, pagination labels, date filters, standard status badges (Eagerly preloaded).</w:t>
      </w:r>
    </w:p>
    <w:p>
      <w:pPr>
        <w:pStyle w:val="ListBullet"/>
        <w:spacing w:before="0" w:after="40" w:line="276" w:lineRule="auto"/>
      </w:pPr>
      <w:r>
        <w:rPr>
          <w:rFonts w:ascii="Calibri" w:hAnsi="Calibri"/>
          <w:color w:val="2D3748"/>
          <w:sz w:val="19"/>
        </w:rPr>
        <w:t>sidebar.json: Brand logo, navigation section headings, menu items, footer links (Eagerly preloaded).</w:t>
      </w:r>
    </w:p>
    <w:p>
      <w:pPr>
        <w:pStyle w:val="ListBullet"/>
        <w:spacing w:before="0" w:after="40" w:line="276" w:lineRule="auto"/>
      </w:pPr>
      <w:r>
        <w:rPr>
          <w:rFonts w:ascii="Calibri" w:hAnsi="Calibri"/>
          <w:color w:val="2D3748"/>
          <w:sz w:val="19"/>
        </w:rPr>
        <w:t>topbar.json: Search bar placeholders, notification popover tooltips, user profile menu (Eagerly preloaded).</w:t>
      </w:r>
    </w:p>
    <w:p>
      <w:pPr>
        <w:pStyle w:val="ListBullet"/>
        <w:spacing w:before="0" w:after="40" w:line="276" w:lineRule="auto"/>
      </w:pPr>
      <w:r>
        <w:rPr>
          <w:rFonts w:ascii="Calibri" w:hAnsi="Calibri"/>
          <w:color w:val="2D3748"/>
          <w:sz w:val="19"/>
        </w:rPr>
        <w:t>inventory.json: All 10 Inventory views, Stock Operations batch tables, ROP alert cards, and reports (Lazy-loaded on route).</w:t>
      </w:r>
    </w:p>
    <w:p>
      <w:pPr>
        <w:pStyle w:val="ListBullet"/>
        <w:spacing w:before="0" w:after="40" w:line="276" w:lineRule="auto"/>
      </w:pPr>
      <w:r>
        <w:rPr>
          <w:rFonts w:ascii="Calibri" w:hAnsi="Calibri"/>
          <w:color w:val="2D3748"/>
          <w:sz w:val="19"/>
        </w:rPr>
        <w:t>finance.json: Core General Ledger, 3-Way Matching, AP, AR, Valuation, Cost Centers, Assets, Statements, Cash Flow (Lazy-loaded on route).</w:t>
      </w:r>
    </w:p>
    <w:p>
      <w:pPr>
        <w:pStyle w:val="ListBullet"/>
        <w:spacing w:before="0" w:after="40" w:line="276" w:lineRule="auto"/>
      </w:pPr>
      <w:r>
        <w:rPr>
          <w:rFonts w:ascii="Calibri" w:hAnsi="Calibri"/>
          <w:color w:val="2D3748"/>
          <w:sz w:val="19"/>
        </w:rPr>
        <w:t>jordan_finance.json: Specialized Jordanian Budgeting, Internal Controls, GTD Tenders, Policies, Social Security, Income Tax, Payroll SIF (Lazy-loaded on route).</w:t>
      </w:r>
    </w:p>
    <w:p>
      <w:pPr>
        <w:pStyle w:val="ListBullet"/>
        <w:spacing w:before="0" w:after="40" w:line="276" w:lineRule="auto"/>
      </w:pPr>
      <w:r>
        <w:rPr>
          <w:rFonts w:ascii="Calibri" w:hAnsi="Calibri"/>
          <w:color w:val="2D3748"/>
          <w:sz w:val="19"/>
        </w:rPr>
        <w:t>notifications.json: System toasts, threshold breach alerts, error boundary fallbacks (Eagerly preloaded).</w:t>
      </w:r>
    </w:p>
    <w:p>
      <w:pPr>
        <w:spacing w:before="0" w:after="80" w:line="276" w:lineRule="auto"/>
      </w:pPr>
      <w:r>
        <w:rPr>
          <w:rFonts w:ascii="Calibri" w:hAnsi="Calibri"/>
          <w:i w:val="0"/>
          <w:color w:val="2D3748"/>
          <w:sz w:val="20"/>
        </w:rPr>
        <w:t>Instead of `i18next-http-backend` (which incurs separate asynchronous HTTP network requests and fails in offline environments), QuickBox utilizes `i18next-resources-to-backend` bound to Vite's native `import()` function. Vite automatically compiles each JSON file into hashed JS chunks, prefetching them in tandem with routed component chunks.</w:t>
      </w:r>
    </w:p>
    <w:p>
      <w:pPr>
        <w:keepNext/>
        <w:spacing w:before="200" w:after="60"/>
      </w:pPr>
      <w:r>
        <w:rPr>
          <w:rFonts w:ascii="Arial" w:hAnsi="Arial"/>
          <w:b/>
          <w:color w:val="2B6CB0"/>
          <w:sz w:val="24"/>
        </w:rPr>
        <w:t>2.3 Topbar Language Switcher UI/UX Specification (Supervisor Decision 2)</w:t>
      </w:r>
    </w:p>
    <w:p>
      <w:pPr>
        <w:spacing w:before="0" w:after="80" w:line="276" w:lineRule="auto"/>
      </w:pPr>
      <w:r>
        <w:rPr>
          <w:rFonts w:ascii="Calibri" w:hAnsi="Calibri"/>
          <w:i w:val="0"/>
          <w:color w:val="2D3748"/>
          <w:sz w:val="20"/>
        </w:rPr>
        <w:t>The language switcher is mounted directly in `src/components/Topbar.jsx` adjacent to the Audit History shortcut and User Profile menu. It features a modern pill button with a Phosphor Globe icon, dynamic text label ("EN" / "????"), and smooth hover transitions.</w:t>
      </w: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[JavaScript (React 19)]</w:t>
              <w:br/>
            </w:r>
            <w:r>
              <w:rPr>
                <w:rFonts w:ascii="Consolas" w:hAnsi="Consolas"/>
                <w:color w:val="1A202C"/>
                <w:sz w:val="17"/>
              </w:rPr>
              <w:t>// src/components/LanguageToggle.jsx</w:t>
              <w:br/>
              <w:t>import React from 'react';</w:t>
              <w:br/>
              <w:t>import { useTranslation } from 'react-i18next';</w:t>
              <w:br/>
              <w:t>import { Globe } from '@phosphor-icons/react';</w:t>
              <w:br/>
              <w:br/>
              <w:t>export default function LanguageToggle() {</w:t>
              <w:br/>
              <w:t xml:space="preserve">  const { i18n, t } = useTranslation('topbar');</w:t>
              <w:br/>
              <w:t xml:space="preserve">  const isArabic = i18n.language &amp;&amp; i18n.language.startsWith('ar');</w:t>
              <w:br/>
              <w:br/>
              <w:t xml:space="preserve">  const toggleLanguage = () =&gt; {</w:t>
              <w:br/>
              <w:t xml:space="preserve">    const nextLang = isArabic ? 'en' : 'ar';</w:t>
              <w:br/>
              <w:t xml:space="preserve">    i18n.changeLanguage(nextLang);</w:t>
              <w:br/>
              <w:t xml:space="preserve">  };</w:t>
              <w:br/>
              <w:br/>
              <w:t xml:space="preserve">  return (</w:t>
              <w:br/>
              <w:t xml:space="preserve">    &lt;button</w:t>
              <w:br/>
              <w:t xml:space="preserve">      onClick={toggleLanguage}</w:t>
              <w:br/>
              <w:t xml:space="preserve">      className="language-toggle-btn"</w:t>
              <w:br/>
              <w:t xml:space="preserve">      aria-label={t('language_toggle_label', 'Switch Language')}</w:t>
              <w:br/>
              <w:t xml:space="preserve">      title={isArabic ? 'Switch to English' : '??????? ??? ????? ???????'}</w:t>
              <w:br/>
              <w:t xml:space="preserve">    &gt;</w:t>
              <w:br/>
              <w:t xml:space="preserve">      &lt;Globe size={18} weight="bold" /&gt;</w:t>
              <w:br/>
              <w:t xml:space="preserve">      &lt;span className="language-code"&gt;{isArabic ? 'EN' : '????'}&lt;/span&gt;</w:t>
              <w:br/>
              <w:t xml:space="preserve">    &lt;/button&gt;</w:t>
              <w:br/>
              <w:t xml:space="preserve">  );</w:t>
              <w:br/>
              <w:t>}</w:t>
            </w:r>
          </w:p>
        </w:tc>
      </w:tr>
    </w:tbl>
    <w:p>
      <w:pPr>
        <w:spacing w:before="0" w:after="60"/>
      </w:pPr>
    </w:p>
    <w:p>
      <w:pPr>
        <w:keepNext/>
        <w:spacing w:before="200" w:after="60"/>
      </w:pPr>
      <w:r>
        <w:rPr>
          <w:rFonts w:ascii="Arial" w:hAnsi="Arial"/>
          <w:b/>
          <w:color w:val="2B6CB0"/>
          <w:sz w:val="24"/>
        </w:rPr>
        <w:t>2.4 Missing Key Fallback Mechanism (Supervisor Decision 4)</w:t>
      </w:r>
    </w:p>
    <w:p>
      <w:pPr>
        <w:spacing w:before="0" w:after="80" w:line="276" w:lineRule="auto"/>
      </w:pPr>
      <w:r>
        <w:rPr>
          <w:rFonts w:ascii="Calibri" w:hAnsi="Calibri"/>
          <w:i w:val="0"/>
          <w:color w:val="2D3748"/>
          <w:sz w:val="20"/>
        </w:rPr>
        <w:t>To ensure high resilience during rolling deployments, `i18next` is configured with `fallbackLng: "en"`. If an Arabic translation key has not yet been localized or is missing from `ar/*.json`, the rendering engine gracefully falls back to the English string without throwing runtime errors or leaving blank UI gaps.</w:t>
      </w:r>
    </w:p>
    <w:p>
      <w:pPr>
        <w:spacing w:before="0" w:after="80" w:line="276" w:lineRule="auto"/>
      </w:pPr>
      <w:r>
        <w:rPr>
          <w:rFonts w:ascii="Calibri" w:hAnsi="Calibri"/>
          <w:i w:val="0"/>
          <w:color w:val="2D3748"/>
          <w:sz w:val="20"/>
        </w:rPr>
        <w:t>In development mode (`import.meta.env.DEV`), missing keys trigger console warnings (`missingKeyHandler`) logging the missing key path and namespace to aid rapid developer debugging.</w:t>
      </w:r>
    </w:p>
    <w:p>
      <w:pPr>
        <w:keepNext/>
        <w:spacing w:before="200" w:after="60"/>
      </w:pPr>
      <w:r>
        <w:rPr>
          <w:rFonts w:ascii="Arial" w:hAnsi="Arial"/>
          <w:b/>
          <w:color w:val="2B6CB0"/>
          <w:sz w:val="24"/>
        </w:rPr>
        <w:t>2.5 Bilingual Print &amp; PDF Export Architecture (Supervisor Decision 5)</w:t>
      </w:r>
    </w:p>
    <w:p>
      <w:pPr>
        <w:spacing w:before="0" w:after="80" w:line="276" w:lineRule="auto"/>
      </w:pPr>
      <w:r>
        <w:rPr>
          <w:rFonts w:ascii="Calibri" w:hAnsi="Calibri"/>
          <w:i w:val="0"/>
          <w:color w:val="2D3748"/>
          <w:sz w:val="20"/>
        </w:rPr>
        <w:t>Enterprise financial users frequently require bilingual reporting capabilities: for instance, an English-speaking CFO reviewing an Arabic dashboard may need to print an English Income Statement for international board members, or an Arabic Tax Report for local ISTD auditors.</w:t>
      </w:r>
    </w:p>
    <w:p>
      <w:pPr>
        <w:spacing w:before="0" w:after="80" w:line="276" w:lineRule="auto"/>
      </w:pPr>
      <w:r>
        <w:rPr>
          <w:rFonts w:ascii="Calibri" w:hAnsi="Calibri"/>
          <w:i w:val="0"/>
          <w:color w:val="2D3748"/>
          <w:sz w:val="20"/>
        </w:rPr>
        <w:t>QuickBox decouples print rendering from the active dashboard UI using an isolated headless iframe container (&lt;PrintModal /&gt;). When the user clicks "Print" or "Export PDF" in `ReportsView.jsx` or `FinancialStatementsView.jsx`:</w:t>
      </w:r>
    </w:p>
    <w:p>
      <w:pPr>
        <w:pStyle w:val="ListBullet"/>
        <w:spacing w:before="0" w:after="40" w:line="276" w:lineRule="auto"/>
      </w:pPr>
      <w:r>
        <w:rPr>
          <w:rFonts w:ascii="Calibri" w:hAnsi="Calibri"/>
          <w:color w:val="2D3748"/>
          <w:sz w:val="19"/>
        </w:rPr>
        <w:t>1. A modal dialog prompts the user: "Select Print Language: [??????? (Arabic) | English]".</w:t>
      </w:r>
    </w:p>
    <w:p>
      <w:pPr>
        <w:pStyle w:val="ListBullet"/>
        <w:spacing w:before="0" w:after="40" w:line="276" w:lineRule="auto"/>
      </w:pPr>
      <w:r>
        <w:rPr>
          <w:rFonts w:ascii="Calibri" w:hAnsi="Calibri"/>
          <w:color w:val="2D3748"/>
          <w:sz w:val="19"/>
        </w:rPr>
        <w:t>2. The selected component is instantiated inside a hidden offscreen container with an independent i18next instance configured to the target print language and document direction.</w:t>
      </w:r>
    </w:p>
    <w:p>
      <w:pPr>
        <w:pStyle w:val="ListBullet"/>
        <w:spacing w:before="0" w:after="40" w:line="276" w:lineRule="auto"/>
      </w:pPr>
      <w:r>
        <w:rPr>
          <w:rFonts w:ascii="Calibri" w:hAnsi="Calibri"/>
          <w:color w:val="2D3748"/>
          <w:sz w:val="19"/>
        </w:rPr>
        <w:t>3. The container applies dedicated @media print CSS rules (removing sidebar, topbar, background fills, and adding official headers/signatures).</w:t>
      </w:r>
    </w:p>
    <w:p>
      <w:pPr>
        <w:pStyle w:val="ListBullet"/>
        <w:spacing w:before="0" w:after="40" w:line="276" w:lineRule="auto"/>
      </w:pPr>
      <w:r>
        <w:rPr>
          <w:rFonts w:ascii="Calibri" w:hAnsi="Calibri"/>
          <w:color w:val="2D3748"/>
          <w:sz w:val="19"/>
        </w:rPr>
        <w:t>4. window.print() is invoked on the iframe, leaving the user active dashboard session completely unaltered.</w:t>
      </w:r>
    </w:p>
    <w:p>
      <w:pPr>
        <w:keepNext/>
        <w:spacing w:before="200" w:after="60"/>
      </w:pPr>
      <w:r>
        <w:rPr>
          <w:rFonts w:ascii="Arial" w:hAnsi="Arial"/>
          <w:b/>
          <w:color w:val="2B6CB0"/>
          <w:sz w:val="24"/>
        </w:rPr>
        <w:t>2.6 Translation Management System (TMS) CI/CD Integration (Supervisor Decision 3)</w:t>
      </w:r>
    </w:p>
    <w:p>
      <w:pPr>
        <w:spacing w:before="0" w:after="80" w:line="276" w:lineRule="auto"/>
      </w:pPr>
      <w:r>
        <w:rPr>
          <w:rFonts w:ascii="Calibri" w:hAnsi="Calibri"/>
          <w:i w:val="0"/>
          <w:color w:val="2D3748"/>
          <w:sz w:val="20"/>
        </w:rPr>
        <w:t>To prevent manual merge conflicts and translation syntax corruption, translation JSON files are synchronized automatically with Crowdin / Lokalise using automated GitHub Actions workflows.</w:t>
      </w: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[YAML (GitHub Actions)]</w:t>
              <w:br/>
            </w:r>
            <w:r>
              <w:rPr>
                <w:rFonts w:ascii="Consolas" w:hAnsi="Consolas"/>
                <w:color w:val="1A202C"/>
                <w:sz w:val="17"/>
              </w:rPr>
              <w:t># .github/workflows/i18n-sync.yml</w:t>
              <w:br/>
              <w:t>name: i18n Translation Sync Pipeline</w:t>
              <w:br/>
              <w:t>on:</w:t>
              <w:br/>
              <w:t xml:space="preserve">  push:</w:t>
              <w:br/>
              <w:t xml:space="preserve">    branches: [ main ]</w:t>
              <w:br/>
              <w:t xml:space="preserve">    paths: [ 'src/i18n/locales/en/**' ]</w:t>
              <w:br/>
              <w:t xml:space="preserve">  schedule:</w:t>
              <w:br/>
              <w:t xml:space="preserve">    - cron: '0 2 * * *' # Nightly pull from TMS at 02:00 UTC</w:t>
              <w:br/>
              <w:br/>
              <w:t>jobs:</w:t>
              <w:br/>
              <w:t xml:space="preserve">  sync-tms:</w:t>
              <w:br/>
              <w:t xml:space="preserve">    runs-on: ubuntu-latest</w:t>
              <w:br/>
              <w:t xml:space="preserve">    steps:</w:t>
              <w:br/>
              <w:t xml:space="preserve">      - name: Checkout Codebase</w:t>
              <w:br/>
              <w:t xml:space="preserve">        uses: actions/checkout@v4</w:t>
              <w:br/>
              <w:br/>
              <w:t xml:space="preserve">      - name: Setup Node.js</w:t>
              <w:br/>
              <w:t xml:space="preserve">        uses: actions/setup-node@v4</w:t>
              <w:br/>
              <w:t xml:space="preserve">        with:</w:t>
              <w:br/>
              <w:t xml:space="preserve">          node-version: 20</w:t>
              <w:br/>
              <w:t xml:space="preserve">          cache: 'npm'</w:t>
              <w:br/>
              <w:br/>
              <w:t xml:space="preserve">      - name: Install Dependencies</w:t>
              <w:br/>
              <w:t xml:space="preserve">        run: npm ci</w:t>
              <w:br/>
              <w:br/>
              <w:t xml:space="preserve">      - name: Extract Untranslated Keys</w:t>
              <w:br/>
              <w:t xml:space="preserve">        run: npx i18next-parser --config i18next-parser.config.js</w:t>
              <w:br/>
              <w:br/>
              <w:t xml:space="preserve">      - name: Push English Source to Lokalise / Crowdin</w:t>
              <w:br/>
              <w:t xml:space="preserve">        env:</w:t>
              <w:br/>
              <w:t xml:space="preserve">          TMS_API_TOKEN: ${{ secrets.TMS_API_TOKEN }}</w:t>
              <w:br/>
              <w:t xml:space="preserve">          TMS_PROJECT_ID: ${{ secrets.TMS_PROJECT_ID }}</w:t>
              <w:br/>
              <w:t xml:space="preserve">        run: |</w:t>
              <w:br/>
              <w:t xml:space="preserve">          npx @lokalise/cli2 file upload \</w:t>
              <w:br/>
              <w:t xml:space="preserve">            --token $TMS_API_TOKEN \</w:t>
              <w:br/>
              <w:t xml:space="preserve">            --project-id $TMS_PROJECT_ID \</w:t>
              <w:br/>
              <w:t xml:space="preserve">            --file "src/i18n/locales/en/*.json" \</w:t>
              <w:br/>
              <w:t xml:space="preserve">            --lang-iso en</w:t>
              <w:br/>
              <w:br/>
              <w:t xml:space="preserve">      - name: Pull Latest Arabic Translations</w:t>
              <w:br/>
              <w:t xml:space="preserve">        run: |</w:t>
              <w:br/>
              <w:t xml:space="preserve">          npx @lokalise/cli2 file download \</w:t>
              <w:br/>
              <w:t xml:space="preserve">            --token $TMS_API_TOKEN \</w:t>
              <w:br/>
              <w:t xml:space="preserve">            --project-id $TMS_PROJECT_ID \</w:t>
              <w:br/>
              <w:t xml:space="preserve">            --format json \</w:t>
              <w:br/>
              <w:t xml:space="preserve">            --unzip-to "src/i18n/locales/"</w:t>
              <w:br/>
              <w:br/>
              <w:t xml:space="preserve">      - name: Create Pull Request with New Translations</w:t>
              <w:br/>
              <w:t xml:space="preserve">        uses: peter-evans/create-pull-request@v5</w:t>
              <w:br/>
              <w:t xml:space="preserve">        with:</w:t>
              <w:br/>
              <w:t xml:space="preserve">          token: ${{ secrets.GITHUB_TOKEN }}</w:t>
              <w:br/>
              <w:t xml:space="preserve">          commit-message: "i18n: sync latest verified Arabic translations from TMS"</w:t>
              <w:br/>
              <w:t xml:space="preserve">          title: "i18n: Automated Translation Sync"</w:t>
              <w:br/>
              <w:t xml:space="preserve">          branch: i18n/sync-translations</w:t>
            </w:r>
          </w:p>
        </w:tc>
      </w:tr>
    </w:tbl>
    <w:p>
      <w:pPr>
        <w:spacing w:before="0" w:after="60"/>
      </w:pPr>
    </w:p>
    <w:p>
      <w:pPr>
        <w:keepNext/>
        <w:spacing w:before="280" w:after="80"/>
      </w:pPr>
      <w:r>
        <w:rPr>
          <w:rFonts w:ascii="Arial" w:hAnsi="Arial"/>
          <w:b/>
          <w:color w:val="1A365D"/>
          <w:sz w:val="29"/>
        </w:rPr>
        <w:t>3. Supervisor Required Concerns (In-Depth Technical Audits &amp; Solutions)</w:t>
      </w:r>
    </w:p>
    <w:p>
      <w:pPr>
        <w:spacing w:before="0" w:after="80" w:line="276" w:lineRule="auto"/>
      </w:pPr>
      <w:r>
        <w:rPr>
          <w:rFonts w:ascii="Calibri" w:hAnsi="Calibri"/>
          <w:i w:val="0"/>
          <w:color w:val="2D3748"/>
          <w:sz w:val="20"/>
        </w:rPr>
        <w:t>This chapter delivers comprehensive technical audits, code implementations, and mitigation strategies for the six mission-critical concerns designated by the system supervisor. Each concern is addressed with production-ready code, detailed classification matrices, and architectural safeguards.</w:t>
      </w:r>
    </w:p>
    <w:p>
      <w:pPr>
        <w:keepNext/>
        <w:spacing w:before="200" w:after="60"/>
      </w:pPr>
      <w:r>
        <w:rPr>
          <w:rFonts w:ascii="Arial" w:hAnsi="Arial"/>
          <w:b/>
          <w:color w:val="2B6CB0"/>
          <w:sz w:val="24"/>
        </w:rPr>
        <w:t>3.1 Section S1: Conditional Arabic Webfont Loading Architecture</w:t>
      </w:r>
    </w:p>
    <w:p>
      <w:pPr>
        <w:spacing w:before="0" w:after="80" w:line="276" w:lineRule="auto"/>
      </w:pPr>
      <w:r>
        <w:rPr>
          <w:rFonts w:ascii="Calibri" w:hAnsi="Calibri"/>
          <w:i w:val="0"/>
          <w:color w:val="2D3748"/>
          <w:sz w:val="20"/>
        </w:rPr>
        <w:t>Problem Definition: The default English dashboard typography utilizes Google Fonts "Inter" (400, 500, 600, 700). High-quality Arabic UI rendering requires "Cairo" (for primary headings and body) and "Tajawal" (for tabular numbers and sub-labels). Loading these Arabic WOFF2 font files statically in index.html adds 280KB to 420KB of uncompressed network overhead, penalizing English users who never switch to Arabic.</w:t>
      </w:r>
    </w:p>
    <w:p>
      <w:pPr>
        <w:spacing w:before="0" w:after="80" w:line="276" w:lineRule="auto"/>
      </w:pPr>
      <w:r>
        <w:rPr>
          <w:rFonts w:ascii="Calibri" w:hAnsi="Calibri"/>
          <w:i w:val="0"/>
          <w:color w:val="2D3748"/>
          <w:sz w:val="20"/>
        </w:rPr>
        <w:t>Supervisor Constraint: Arabic webfonts MUST NOT be bundled or downloaded for English sessions. Font injection must execute asynchronously and conditionally upon the first user transition to an Arabic locale.</w:t>
      </w: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[JavaScript (fontLoader.js)]</w:t>
              <w:br/>
            </w:r>
            <w:r>
              <w:rPr>
                <w:rFonts w:ascii="Consolas" w:hAnsi="Consolas"/>
                <w:color w:val="1A202C"/>
                <w:sz w:val="17"/>
              </w:rPr>
              <w:t>// src/utils/fontLoader.js</w:t>
              <w:br/>
              <w:t>/**</w:t>
              <w:br/>
              <w:t xml:space="preserve"> * Asynchronously injects Google Fonts stylesheet for Cairo &amp; Tajawal only when Arabic is active.</w:t>
              <w:br/>
              <w:t xml:space="preserve"> * Guarantees zero network footprint for pure English sessions.</w:t>
              <w:br/>
              <w:t xml:space="preserve"> */</w:t>
              <w:br/>
              <w:t>const ARABIC_FONT_LINK_ID = 'quickbox-arabic-webfonts';</w:t>
              <w:br/>
              <w:t>const GOOGLE_FONTS_ARABIC_URL =</w:t>
              <w:br/>
              <w:t xml:space="preserve">  'https://fonts.googleapis.com/css2?family=Cairo:wght@400;500;600;700;800&amp;family=Tajawal:wght@400;500;700&amp;display=swap';</w:t>
              <w:br/>
              <w:br/>
              <w:t>export const loadArabicWebfont = () =&gt; {</w:t>
              <w:br/>
              <w:t xml:space="preserve">  return new Promise((resolve) =&gt; {</w:t>
              <w:br/>
              <w:t xml:space="preserve">    // Return immediately if already resident in DOM</w:t>
              <w:br/>
              <w:t xml:space="preserve">    if (document.getElementById(ARABIC_FONT_LINK_ID)) {</w:t>
              <w:br/>
              <w:t xml:space="preserve">      resolve(true);</w:t>
              <w:br/>
              <w:t xml:space="preserve">      return;</w:t>
              <w:br/>
              <w:t xml:space="preserve">    }</w:t>
              <w:br/>
              <w:br/>
              <w:t xml:space="preserve">    // Preconnect to Google Fonts CDN endpoints</w:t>
              <w:br/>
              <w:t xml:space="preserve">    if (!document.querySelector("link[href='https://fonts.gstatic.com']")) {</w:t>
              <w:br/>
              <w:t xml:space="preserve">      const preconnectGstatic = document.createElement('link');</w:t>
              <w:br/>
              <w:t xml:space="preserve">      preconnectGstatic.rel = 'preconnect';</w:t>
              <w:br/>
              <w:t xml:space="preserve">      preconnectGstatic.href = 'https://fonts.gstatic.com';</w:t>
              <w:br/>
              <w:t xml:space="preserve">      preconnectGstatic.crossOrigin = 'anonymous';</w:t>
              <w:br/>
              <w:t xml:space="preserve">      document.head.appendChild(preconnectGstatic);</w:t>
              <w:br/>
              <w:t xml:space="preserve">    }</w:t>
              <w:br/>
              <w:br/>
              <w:t xml:space="preserve">    const fontLink = document.createElement('link');</w:t>
              <w:br/>
              <w:t xml:space="preserve">    fontLink.id = ARABIC_FONT_LINK_ID;</w:t>
              <w:br/>
              <w:t xml:space="preserve">    fontLink.rel = 'stylesheet';</w:t>
              <w:br/>
              <w:t xml:space="preserve">    fontLink.href = GOOGLE_FONTS_ARABIC_URL;</w:t>
              <w:br/>
              <w:t xml:space="preserve">    fontLink.onload = () =&gt; {</w:t>
              <w:br/>
              <w:t xml:space="preserve">      document.documentElement.classList.add('arabic-font-loaded');</w:t>
              <w:br/>
              <w:t xml:space="preserve">      resolve(true);</w:t>
              <w:br/>
              <w:t xml:space="preserve">    };</w:t>
              <w:br/>
              <w:t xml:space="preserve">    fontLink.onerror = () =&gt; {</w:t>
              <w:br/>
              <w:t xml:space="preserve">      console.warn('Google Fonts CDN unreachable. Falling back to system Arabic sans-serif.');</w:t>
              <w:br/>
              <w:t xml:space="preserve">      resolve(false);</w:t>
              <w:br/>
              <w:t xml:space="preserve">    };</w:t>
              <w:br/>
              <w:br/>
              <w:t xml:space="preserve">    document.head.appendChild(fontLink);</w:t>
              <w:br/>
              <w:t xml:space="preserve">  });</w:t>
              <w:br/>
              <w:t>};</w:t>
            </w:r>
          </w:p>
        </w:tc>
      </w:tr>
    </w:tbl>
    <w:p>
      <w:pPr>
        <w:spacing w:before="0" w:after="60"/>
      </w:pP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[CSS (App.css)]</w:t>
              <w:br/>
            </w:r>
            <w:r>
              <w:rPr>
                <w:rFonts w:ascii="Consolas" w:hAnsi="Consolas"/>
                <w:color w:val="1A202C"/>
                <w:sz w:val="17"/>
              </w:rPr>
              <w:t>/* src/App.css - Dynamic Typography Token Switching */</w:t>
              <w:br/>
              <w:t>:root {</w:t>
              <w:br/>
              <w:t xml:space="preserve">  --font-primary: 'Inter', system-ui, -apple-system, sans-serif;</w:t>
              <w:br/>
              <w:t xml:space="preserve">  --font-mono: ui-monospace, SFMono-Regular, Menlo, Monaco, Consolas, monospace;</w:t>
              <w:br/>
              <w:t>}</w:t>
              <w:br/>
              <w:br/>
              <w:t>/* Activated atomically when document element direction flips to RTL */</w:t>
              <w:br/>
              <w:t>html[dir='rtl'],</w:t>
              <w:br/>
              <w:t>html[lang='ar'] {</w:t>
              <w:br/>
              <w:t xml:space="preserve">  --font-primary: 'Cairo', 'Tajawal', 'Inter', system-ui, -apple-system, sans-serif;</w:t>
              <w:br/>
              <w:t>}</w:t>
              <w:br/>
              <w:br/>
              <w:t>body {</w:t>
              <w:br/>
              <w:t xml:space="preserve">  font-family: var(--font-primary);</w:t>
              <w:br/>
              <w:t xml:space="preserve">  font-feature-settings: 'cv02', 'cv03', 'cv04', 'cv11';</w:t>
              <w:br/>
              <w:t xml:space="preserve">  -webkit-font-smoothing: antialiased;</w:t>
              <w:br/>
              <w:t>}</w:t>
              <w:br/>
              <w:br/>
              <w:t>.arabic-font-loaded {</w:t>
              <w:br/>
              <w:t xml:space="preserve">  font-display: swap;</w:t>
              <w:br/>
              <w:t>}</w:t>
            </w:r>
          </w:p>
        </w:tc>
      </w:tr>
    </w:tbl>
    <w:p>
      <w:pPr>
        <w:spacing w:before="0" w:after="60"/>
      </w:pPr>
    </w:p>
    <w:p>
      <w:pPr>
        <w:keepNext/>
        <w:spacing w:before="200" w:after="60"/>
      </w:pPr>
      <w:r>
        <w:rPr>
          <w:rFonts w:ascii="Arial" w:hAnsi="Arial"/>
          <w:b/>
          <w:color w:val="2B6CB0"/>
          <w:sz w:val="24"/>
        </w:rPr>
        <w:t>3.2 Section S2: Western Arabic Numerals Policy &amp; Banking Compliance (JoPACC &amp; WPS SIF)</w:t>
      </w:r>
    </w:p>
    <w:p>
      <w:pPr>
        <w:spacing w:before="0" w:after="80" w:line="276" w:lineRule="auto"/>
      </w:pPr>
      <w:r>
        <w:rPr>
          <w:rFonts w:ascii="Calibri" w:hAnsi="Calibri"/>
          <w:i w:val="0"/>
          <w:color w:val="2D3748"/>
          <w:sz w:val="20"/>
        </w:rPr>
        <w:t>Regulatory Mandate: QuickBox interfaces with Central Bank of Jordan (CBJ) clearing systems, JoPACC financial networks (CliQ instant payments, ACH batch transfers, ECC electronic cheque clearance), and the Ministry of Labour's Wage Protection System (WPS SIF). All automated file parsers require strict ASCII Latin digits (0, 1, 2, 3, 4, 5, 6, 7, 8, 9).</w:t>
      </w:r>
    </w:p>
    <w:p>
      <w:pPr>
        <w:spacing w:before="0" w:after="80" w:line="276" w:lineRule="auto"/>
      </w:pPr>
      <w:r>
        <w:rPr>
          <w:rFonts w:ascii="Calibri" w:hAnsi="Calibri"/>
          <w:i w:val="0"/>
          <w:color w:val="2D3748"/>
          <w:sz w:val="20"/>
        </w:rPr>
        <w:t>The Eastern Numeral Trap: Standard JavaScript `(1250).toLocaleString("ar-JO")` produces Eastern Arabic digits (???????) and Arabic decimal separators (?). When included in exported CSV/SIF files or banking payload APIs, these characters cause fatal rejection errors.</w:t>
      </w:r>
    </w:p>
    <w:p>
      <w:pPr>
        <w:spacing w:before="0" w:after="80" w:line="276" w:lineRule="auto"/>
      </w:pPr>
      <w:r>
        <w:rPr>
          <w:rFonts w:ascii="Calibri" w:hAnsi="Calibri"/>
          <w:i w:val="0"/>
          <w:color w:val="2D3748"/>
          <w:sz w:val="20"/>
        </w:rPr>
        <w:t>Technical Solution: Enforce the Unicode extension `ar-JO-u-nu-latn` across all formatting utilities. In Arabic mode, currency symbols are suffixed (e.g. `1,250.00 ?.?`), but digits remain 100% Western.</w:t>
      </w: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[JavaScript (numberFormatters.js)]</w:t>
              <w:br/>
            </w:r>
            <w:r>
              <w:rPr>
                <w:rFonts w:ascii="Consolas" w:hAnsi="Consolas"/>
                <w:color w:val="1A202C"/>
                <w:sz w:val="17"/>
              </w:rPr>
              <w:t>// src/utils/numberFormatters.js</w:t>
              <w:br/>
              <w:t>/**</w:t>
              <w:br/>
              <w:t xml:space="preserve"> * Master Number &amp; Currency Formatting Utilities with Strict Western Numerals</w:t>
              <w:br/>
              <w:t xml:space="preserve"> * Compliant with Central Bank of Jordan, JoPACC &amp; WPS SIF requirements.</w:t>
              <w:br/>
              <w:t xml:space="preserve"> */</w:t>
              <w:br/>
              <w:br/>
              <w:t>export const formatCurrency = (amount, options = {}) =&gt; {</w:t>
              <w:br/>
              <w:t xml:space="preserve">  const {</w:t>
              <w:br/>
              <w:t xml:space="preserve">    currency = 'JOD',</w:t>
              <w:br/>
              <w:t xml:space="preserve">    locale = 'ar-JO',</w:t>
              <w:br/>
              <w:t xml:space="preserve">    decimals = 2,</w:t>
              <w:br/>
              <w:t xml:space="preserve">    showSymbol = true,</w:t>
              <w:br/>
              <w:t xml:space="preserve">  } = options;</w:t>
              <w:br/>
              <w:br/>
              <w:t xml:space="preserve">  const num = typeof amount === 'number' ? amount : parseFloat(amount) || 0;</w:t>
              <w:br/>
              <w:t xml:space="preserve">  // 'u-nu-latn' forces Latin digits (1, 2, 3...) regardless of Arabic locale</w:t>
              <w:br/>
              <w:t xml:space="preserve">  const normalizedLocale = locale.startsWith('ar') ? 'ar-JO-u-nu-latn' : 'en-US';</w:t>
              <w:br/>
              <w:br/>
              <w:t xml:space="preserve">  const formattedDigits = new Intl.NumberFormat(normalizedLocale, {</w:t>
              <w:br/>
              <w:t xml:space="preserve">    minimumFractionDigits: decimals,</w:t>
              <w:br/>
              <w:t xml:space="preserve">    maximumFractionDigits: decimals,</w:t>
              <w:br/>
              <w:t xml:space="preserve">  }).format(num);</w:t>
              <w:br/>
              <w:br/>
              <w:t xml:space="preserve">  if (!showSymbol) return formattedDigits;</w:t>
              <w:br/>
              <w:br/>
              <w:t xml:space="preserve">  if (locale.startsWith('ar')) {</w:t>
              <w:br/>
              <w:t xml:space="preserve">    const symbolMap = {</w:t>
              <w:br/>
              <w:t xml:space="preserve">      JOD: '?.?',</w:t>
              <w:br/>
              <w:t xml:space="preserve">      USD: '$',</w:t>
              <w:br/>
              <w:t xml:space="preserve">      EUR: '?',</w:t>
              <w:br/>
              <w:t xml:space="preserve">      AED: '?.?',</w:t>
              <w:br/>
              <w:t xml:space="preserve">      SAR: '?.?',</w:t>
              <w:br/>
              <w:t xml:space="preserve">    };</w:t>
              <w:br/>
              <w:t xml:space="preserve">    return `${formattedDigits} ${symbolMap[currency] || currency}`;</w:t>
              <w:br/>
              <w:t xml:space="preserve">  }</w:t>
              <w:br/>
              <w:br/>
              <w:t xml:space="preserve">  const prefixMap = { USD: '$', EUR: '?', GBP: '?' };</w:t>
              <w:br/>
              <w:t xml:space="preserve">  if (prefixMap[currency]) {</w:t>
              <w:br/>
              <w:t xml:space="preserve">    return `${prefixMap[currency]}${formattedDigits}`;</w:t>
              <w:br/>
              <w:t xml:space="preserve">  }</w:t>
              <w:br/>
              <w:t xml:space="preserve">  return `${currency} ${formattedDigits}`;</w:t>
              <w:br/>
              <w:t>};</w:t>
              <w:br/>
              <w:br/>
              <w:t>export const formatNumber = (value, options = {}) =&gt; {</w:t>
              <w:br/>
              <w:t xml:space="preserve">  const { locale = 'ar-JO', decimals = 0 } = options;</w:t>
              <w:br/>
              <w:t xml:space="preserve">  const num = typeof value === 'number' ? value : parseFloat(value) || 0;</w:t>
              <w:br/>
              <w:t xml:space="preserve">  const normalizedLocale = locale.startsWith('ar') ? 'ar-JO-u-nu-latn' : 'en-US';</w:t>
              <w:br/>
              <w:br/>
              <w:t xml:space="preserve">  return new Intl.NumberFormat(normalizedLocale, {</w:t>
              <w:br/>
              <w:t xml:space="preserve">    minimumFractionDigits: decimals,</w:t>
              <w:br/>
              <w:t xml:space="preserve">    maximumFractionDigits: decimals,</w:t>
              <w:br/>
              <w:t xml:space="preserve">  }).format(num);</w:t>
              <w:br/>
              <w:t>};</w:t>
              <w:br/>
              <w:br/>
              <w:t>export const formatPercentage = (value, options = {}) =&gt; {</w:t>
              <w:br/>
              <w:t xml:space="preserve">  const { locale = 'ar-JO', decimals = 1 } = options;</w:t>
              <w:br/>
              <w:t xml:space="preserve">  const num = typeof value === 'number' ? value : parseFloat(value) || 0;</w:t>
              <w:br/>
              <w:t xml:space="preserve">  const formatted = formatNumber(num, { locale, decimals });</w:t>
              <w:br/>
              <w:t xml:space="preserve">  return locale.startsWith('ar') ? `%${formatted}` : `${formatted}%`;</w:t>
              <w:br/>
              <w:t>};</w:t>
              <w:br/>
              <w:br/>
              <w:t>/**</w:t>
              <w:br/>
              <w:t xml:space="preserve"> * Generates WPS SIF (Wage Protection System Standard Input Format) Payroll Records.</w:t>
              <w:br/>
              <w:t xml:space="preserve"> * Guaranteed 100% ASCII output: NationalID,IBAN,YYYYMM,Basic,Allowance,Deduct,Net</w:t>
              <w:br/>
              <w:t xml:space="preserve"> */</w:t>
              <w:br/>
              <w:t>export const formatWpsSifSalaryRecord = ({</w:t>
              <w:br/>
              <w:t xml:space="preserve">  employeeNationalId,</w:t>
              <w:br/>
              <w:t xml:space="preserve">  employeeIban,</w:t>
              <w:br/>
              <w:t xml:space="preserve">  basicSalary,</w:t>
              <w:br/>
              <w:t xml:space="preserve">  allowances = 0,</w:t>
              <w:br/>
              <w:t xml:space="preserve">  deductions = 0,</w:t>
              <w:br/>
              <w:t xml:space="preserve">  monthYear,</w:t>
              <w:br/>
              <w:t>}) =&gt; {</w:t>
              <w:br/>
              <w:t xml:space="preserve">  const cleanId = String(employeeNationalId).replace(/\D/g, '');</w:t>
              <w:br/>
              <w:t xml:space="preserve">  const cleanIban = String(employeeIban).replace(/\s/g, '').toUpperCase();</w:t>
              <w:br/>
              <w:t xml:space="preserve">  const basic = Number(basicSalary).toFixed(3);</w:t>
              <w:br/>
              <w:t xml:space="preserve">  const allow = Number(allowances).toFixed(3);</w:t>
              <w:br/>
              <w:t xml:space="preserve">  const deduct = Number(deductions).toFixed(3);</w:t>
              <w:br/>
              <w:t xml:space="preserve">  const net = (Number(basicSalary) + Number(allowances) - Number(deductions)).toFixed(3);</w:t>
              <w:br/>
              <w:br/>
              <w:t xml:space="preserve">  return `${cleanId},${cleanIban},${monthYear},${basic},${allow},${deduct},${net}`;</w:t>
              <w:br/>
              <w:t>};</w:t>
            </w:r>
          </w:p>
        </w:tc>
      </w:tr>
    </w:tbl>
    <w:p>
      <w:pPr>
        <w:spacing w:before="0" w:after="60"/>
      </w:pPr>
    </w:p>
    <w:p>
      <w:pPr>
        <w:keepNext/>
        <w:spacing w:before="200" w:after="60"/>
      </w:pPr>
      <w:r>
        <w:rPr>
          <w:rFonts w:ascii="Arial" w:hAnsi="Arial"/>
          <w:b/>
          <w:color w:val="2B6CB0"/>
          <w:sz w:val="24"/>
        </w:rPr>
        <w:t>3.3 Section S3: Fixed-Width Components Text Overflow Audit &amp; Mitigation</w:t>
      </w:r>
    </w:p>
    <w:p>
      <w:pPr>
        <w:spacing w:before="0" w:after="80" w:line="276" w:lineRule="auto"/>
      </w:pPr>
      <w:r>
        <w:rPr>
          <w:rFonts w:ascii="Calibri" w:hAnsi="Calibri"/>
          <w:i w:val="0"/>
          <w:color w:val="2D3748"/>
          <w:sz w:val="20"/>
        </w:rPr>
        <w:t>Arabic Typography Dynamics: Due to Arabic script ligature morphology and descriptive phrasing in accounting terminology, Arabic text expands by 15% to 35% relative to English source text. A complete component-by-component audit was conducted to eliminate visual clipping, line breaking, and container overflow.</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Component &amp; Selector</w:t>
            </w:r>
          </w:p>
        </w:tc>
        <w:tc>
          <w:tcPr>
            <w:tcW w:type="dxa" w:w="201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Current Physical Constraint</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Arabic Expansion Risk</w:t>
            </w:r>
          </w:p>
        </w:tc>
        <w:tc>
          <w:tcPr>
            <w:tcW w:type="dxa" w:w="316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Engineering Remediation Strategy</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 (.sidebar, App.css:124)</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width: 220px; min-width: 220px;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Navigation titles like "Reporting Concepts" (?????? ?????? ???????? ???????) clip.</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Expand sidebar to width: 260px; min-width: 260px;. Add overflow: hidden; text-overflow: ellipsis; with full title tooltip on hover.</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 Links (.nav-item span)</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white-space: nowrap;</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Long sub-module titles overflow 220px boundary.</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 max-width: 190px; text-overflow: ellipsis; white-space: nowrap; combined with native browser title tooltip.</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 Search (.search-container)</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width: 280px;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Arabic placeholder "??? ?? ??????? ????????..." overflows on 1024px screens.</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Convert to flexible container: width: 100%; max-width: 320px; min-width: 200px; flex: 1 1 auto;.</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 Toolbar (.search-filter)</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width: 230px;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Search input placeholder clips in Arabic.</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 width: 100%; max-width: 280px; min-width: 180px; flex: 1 1 auto;.</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 Dropdowns (.dropdown-btn)</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white-space: nowrap; padding: 5px 10px;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Multiple filter dropdowns wrap onto secondary lines, breaking grid header.</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Add flex-wrap: wrap; gap: 6px; on .dropdown-filters container.</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Table Headers (th, App.css:615)</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white-space: nowrap; padding: 12px 16px;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Long Arabic column names force awkward vertical height changes.</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Preserve white-space: nowrap; on th, wrap data grids in .table-container { overflow-x: auto; }, and define min-width: 120px for text columns.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Metric Cards (.metrics-4, .metrics-5)</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grid-template-columns: repeat(4/5, 1fr);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5-column KPI cards on laptops (&lt;1280px) squeeze text labels into 3+ unreadable lines.</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Migrate to CSS Auto-Fit: grid-template-columns: repeat(auto-fit, minmax(200px, 1fr)); gap: 16px;.</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Toast Alerts (.toast, App.css:1090)</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min-width: 280px;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Multi-sentence Arabic transaction messages exceed container width.</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 min-width: 280px; max-width: 440px; width: fit-content; word-break: break-word;.</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Modal Dialogs (.modal-content)</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max-width: 600px; width: 100%;</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Form labels and validation messages wrap awkwardly in 2-column modal forms.</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 max-width: 640px; width: 100%; max-height: 90vh; overflow-y: auto; with responsive grid grid-template-columns: repeat(auto-fit, minmax(240px, 1fr));.</w:t>
            </w:r>
          </w:p>
        </w:tc>
      </w:tr>
    </w:tbl>
    <w:p>
      <w:pPr>
        <w:spacing w:before="0" w:after="60"/>
      </w:pPr>
    </w:p>
    <w:p>
      <w:pPr>
        <w:keepNext/>
        <w:spacing w:before="200" w:after="60"/>
      </w:pPr>
      <w:r>
        <w:rPr>
          <w:rFonts w:ascii="Arial" w:hAnsi="Arial"/>
          <w:b/>
          <w:color w:val="2B6CB0"/>
          <w:sz w:val="24"/>
        </w:rPr>
        <w:t>3.4 Section S4: Per-Field Bidirectional (BiDi) Isolation</w:t>
      </w:r>
    </w:p>
    <w:p>
      <w:pPr>
        <w:spacing w:before="0" w:after="80" w:line="276" w:lineRule="auto"/>
      </w:pPr>
      <w:r>
        <w:rPr>
          <w:rFonts w:ascii="Calibri" w:hAnsi="Calibri"/>
          <w:i w:val="0"/>
          <w:color w:val="2D3748"/>
          <w:sz w:val="20"/>
        </w:rPr>
        <w:t>Problem Definition: In an RTL Arabic interface, alphanumeric codes, international telephone numbers, bank IBANs, and transaction IDs will suffer from corrupted character rendering (e.g. misplaced leading "+" on phone numbers, scrambled hyphens in SKU codes "SKU-9921", and inverted decimal numbers) if left to inherit the parent RTL direction.</w:t>
      </w:r>
    </w:p>
    <w:p>
      <w:pPr>
        <w:spacing w:before="0" w:after="80" w:line="276" w:lineRule="auto"/>
      </w:pPr>
      <w:r>
        <w:rPr>
          <w:rFonts w:ascii="Calibri" w:hAnsi="Calibri"/>
          <w:i w:val="0"/>
          <w:color w:val="2D3748"/>
          <w:sz w:val="20"/>
        </w:rPr>
        <w:t>Complete Input Field Audit: An audit of all 191 input controls across the codebase identified the following mandatory BiDi isolation requirements:</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Field Category</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Codebase Locations &amp; Examples</w:t>
            </w:r>
          </w:p>
        </w:tc>
        <w:tc>
          <w:tcPr>
            <w:tcW w:type="dxa" w:w="144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Direction Standard</w:t>
            </w:r>
          </w:p>
        </w:tc>
        <w:tc>
          <w:tcPr>
            <w:tcW w:type="dxa" w:w="345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Technical Enforcement Attributes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Email Addresses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SettingsView.jsx:21, PartyDirectoryView.jsx:426 (e.g. audit@quickbox.jo)</w:t>
            </w:r>
          </w:p>
        </w:tc>
        <w:tc>
          <w:tcPr>
            <w:tcW w:type="dxa" w:w="144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style={{ unicodeBidi: "isolate", textAlign: "left" }} type="email"</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Phone / Mobile Numbers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SettingsView.jsx:29, PartyDirectoryView.jsx:436 (e.g. +962 7 9123 4567)</w:t>
            </w:r>
          </w:p>
        </w:tc>
        <w:tc>
          <w:tcPr>
            <w:tcW w:type="dxa" w:w="144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style={{ unicodeBidi: "isolate", textAlign: "left" }} type="tel"</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SKU &amp; Barcodes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Filters.jsx:27, StockOpsView.jsx:182 (e.g. SKU-8921, BAR-10029)</w:t>
            </w:r>
          </w:p>
        </w:tc>
        <w:tc>
          <w:tcPr>
            <w:tcW w:type="dxa" w:w="144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style={{ unicodeBidi: "isolate", fontFamily: "var(--font-mono)"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Tax Identification (TRN/CRN)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PartyDirectoryView.jsx:400, TenderBidAuditingView.jsx:320 (e.g. TRN-100485920)</w:t>
            </w:r>
          </w:p>
        </w:tc>
        <w:tc>
          <w:tcPr>
            <w:tcW w:type="dxa" w:w="144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style={{ unicodeBidi: "isolate", fontFamily: "var(--font-mono)", textAlign: "left"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Bank IBAN &amp; Account Numbers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PartyDirectoryView.jsx:450, AccountReconciliationView.jsx:120 (e.g. JO94 CBJO...)</w:t>
            </w:r>
          </w:p>
        </w:tc>
        <w:tc>
          <w:tcPr>
            <w:tcW w:type="dxa" w:w="144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style={{ unicodeBidi: "isolate", fontFamily: "var(--font-mono)", textAlign: "left"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Voucher &amp; Transaction IDs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GeneralLedgerView.jsx:240, AuditLogsView.jsx:110 (e.g. JV-2026-00412, TXN-88219)</w:t>
            </w:r>
          </w:p>
        </w:tc>
        <w:tc>
          <w:tcPr>
            <w:tcW w:type="dxa" w:w="144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style={{ unicodeBidi: "isolate", fontFamily: "var(--font-mono)"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Numeric / Monetary Inputs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StockOpsView.jsx:223, GeneralLedgerView.jsx:270, FixedAssetsView.jsx:180</w:t>
            </w:r>
          </w:p>
        </w:tc>
        <w:tc>
          <w:tcPr>
            <w:tcW w:type="dxa" w:w="144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Strict LTR</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dir="ltr" type="number" style={{ unicodeBidi: "isolate", textAlign: "end", fontFamily: "var(--font-mono)"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Multilingual Free-Text &amp; Memos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InternalControlsView.jsx:280 (Justification), FinancialPoliciesView.jsx:120</w:t>
            </w:r>
          </w:p>
        </w:tc>
        <w:tc>
          <w:tcPr>
            <w:tcW w:type="dxa" w:w="144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Dynamic BiDi</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dir="auto" style={{ textAlign: "start" }} (auto-detects Arabic vs English per paragraph)</w:t>
            </w:r>
          </w:p>
        </w:tc>
      </w:tr>
    </w:tbl>
    <w:p>
      <w:pPr>
        <w:spacing w:before="0" w:after="60"/>
      </w:pP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[JavaScript (BidiInput.jsx)]</w:t>
              <w:br/>
            </w:r>
            <w:r>
              <w:rPr>
                <w:rFonts w:ascii="Consolas" w:hAnsi="Consolas"/>
                <w:color w:val="1A202C"/>
                <w:sz w:val="17"/>
              </w:rPr>
              <w:t>// src/components/common/BidiInput.jsx</w:t>
              <w:br/>
              <w:t>import React from 'react';</w:t>
              <w:br/>
              <w:br/>
              <w:t>export const BidiInput = ({</w:t>
              <w:br/>
              <w:t xml:space="preserve">  ltrOnly = false,</w:t>
              <w:br/>
              <w:t xml:space="preserve">  autoDir = false,</w:t>
              <w:br/>
              <w:t xml:space="preserve">  mono = false,</w:t>
              <w:br/>
              <w:t xml:space="preserve">  className = '',</w:t>
              <w:br/>
              <w:t xml:space="preserve">  style = {},</w:t>
              <w:br/>
              <w:t xml:space="preserve">  ...props</w:t>
              <w:br/>
              <w:t>}) =&gt; {</w:t>
              <w:br/>
              <w:t xml:space="preserve">  const direction = ltrOnly ? 'ltr' : autoDir ? 'auto' : undefined;</w:t>
              <w:br/>
              <w:t xml:space="preserve">  const bidiStyles = {</w:t>
              <w:br/>
              <w:t xml:space="preserve">    ...(ltrOnly &amp;&amp; { unicodeBidi: 'isolate', textAlign: 'start' }),</w:t>
              <w:br/>
              <w:t xml:space="preserve">    ...(mono &amp;&amp; { fontFamily: 'var(--font-mono)' }),</w:t>
              <w:br/>
              <w:t xml:space="preserve">    ...style,</w:t>
              <w:br/>
              <w:t xml:space="preserve">  };</w:t>
              <w:br/>
              <w:br/>
              <w:t xml:space="preserve">  return (</w:t>
              <w:br/>
              <w:t xml:space="preserve">    &lt;input</w:t>
              <w:br/>
              <w:t xml:space="preserve">      dir={direction}</w:t>
              <w:br/>
              <w:t xml:space="preserve">      className={`form-control ${ltrOnly ? 'bidi-ltr' : ''} ${mono ? 'mono' : ''} ${className}`}</w:t>
              <w:br/>
              <w:t xml:space="preserve">      style={bidiStyles}</w:t>
              <w:br/>
              <w:t xml:space="preserve">      {...props}</w:t>
              <w:br/>
              <w:t xml:space="preserve">    /&gt;</w:t>
              <w:br/>
              <w:t xml:space="preserve">  );</w:t>
              <w:br/>
              <w:t>};</w:t>
              <w:br/>
              <w:br/>
              <w:t>export const BidiText = ({ children, ltrOnly = false, mono = false, className = '' }) =&gt; (</w:t>
              <w:br/>
              <w:t xml:space="preserve">  &lt;span</w:t>
              <w:br/>
              <w:t xml:space="preserve">    dir={ltrOnly ? 'ltr' : 'auto'}</w:t>
              <w:br/>
              <w:t xml:space="preserve">    className={`bidi-isolate ${mono ? 'mono' : ''} ${className}`}</w:t>
              <w:br/>
              <w:t xml:space="preserve">    style={{ unicodeBidi: 'isolate' }}</w:t>
              <w:br/>
              <w:t xml:space="preserve">  &gt;</w:t>
              <w:br/>
              <w:t xml:space="preserve">    {children}</w:t>
              <w:br/>
              <w:t xml:space="preserve">  &lt;/span&gt;</w:t>
              <w:br/>
              <w:t>);</w:t>
            </w:r>
          </w:p>
        </w:tc>
      </w:tr>
    </w:tbl>
    <w:p>
      <w:pPr>
        <w:spacing w:before="0" w:after="60"/>
      </w:pPr>
    </w:p>
    <w:p>
      <w:pPr>
        <w:keepNext/>
        <w:spacing w:before="200" w:after="60"/>
      </w:pPr>
      <w:r>
        <w:rPr>
          <w:rFonts w:ascii="Arial" w:hAnsi="Arial"/>
          <w:b/>
          <w:color w:val="2B6CB0"/>
          <w:sz w:val="24"/>
        </w:rPr>
        <w:t>3.5 Section S5: Directional Icons Flipping Audit</w:t>
      </w:r>
    </w:p>
    <w:p>
      <w:pPr>
        <w:spacing w:before="0" w:after="80" w:line="276" w:lineRule="auto"/>
      </w:pPr>
      <w:r>
        <w:rPr>
          <w:rFonts w:ascii="Calibri" w:hAnsi="Calibri"/>
          <w:i w:val="0"/>
          <w:color w:val="2D3748"/>
          <w:sz w:val="20"/>
        </w:rPr>
        <w:t>Icon Categorization: An audit of all 81 unique Phosphor icons imported across the 51 components was conducted to classify icons that must flip in RTL versus icons that must remain strictly unflipped to avoid semantic breakage.</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Category</w:t>
            </w:r>
          </w:p>
        </w:tc>
        <w:tc>
          <w:tcPr>
            <w:tcW w:type="dxa" w:w="129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Icon Count</w:t>
            </w:r>
          </w:p>
        </w:tc>
        <w:tc>
          <w:tcPr>
            <w:tcW w:type="dxa" w:w="302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Phosphor Icon Names</w:t>
            </w:r>
          </w:p>
        </w:tc>
        <w:tc>
          <w:tcPr>
            <w:tcW w:type="dxa" w:w="316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RTL Action &amp; Rationale</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Category 1: Directional (Must Flip)</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4 Icons</w:t>
            </w:r>
          </w:p>
        </w:tc>
        <w:tc>
          <w:tcPr>
            <w:tcW w:type="dxa" w:w="302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ArrowRight, ArrowCircleRight, CaretRight, PaperPlaneTilt</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FLIP (180deg / scaleX(-1)). These icons indicate forward reading flow, batch pagination, or dispatch progression.</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Category 2: Chronological &amp; Financial Flow (Do Not Flip)</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6 Icons</w:t>
            </w:r>
          </w:p>
        </w:tc>
        <w:tc>
          <w:tcPr>
            <w:tcW w:type="dxa" w:w="302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TrendUp, TrendDown, ChartLineUp, ArrowsLeftRight, Play, ClockCounterClockwise</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DO NOT FLIP. Financial charts and time-series indicators globally follow a left-to-right horizontal time axis. Clocks run clockwise.</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Category 3: Non-Directional / Symmetrical (Do Not Flip)</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71 Icons</w:t>
            </w:r>
          </w:p>
        </w:tc>
        <w:tc>
          <w:tcPr>
            <w:tcW w:type="dxa" w:w="302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MagnifyingGlass, SlidersHorizontal, Funnel, DownloadSimple, Printer, FloppyDisk, Trash, PencilSimple, Plus, Minus, CheckCircle, Warning, Lock, Buildings, UsersThree, Bell, etc.</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DO NOT FLIP. Physical tools, search lenses, universal security shields, download arrows (downward), and branding logos do not flip.</w:t>
            </w:r>
          </w:p>
        </w:tc>
      </w:tr>
    </w:tbl>
    <w:p>
      <w:pPr>
        <w:spacing w:before="0" w:after="60"/>
      </w:pP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[CSS (Icon Flipping)]</w:t>
              <w:br/>
            </w:r>
            <w:r>
              <w:rPr>
                <w:rFonts w:ascii="Consolas" w:hAnsi="Consolas"/>
                <w:color w:val="1A202C"/>
                <w:sz w:val="17"/>
              </w:rPr>
              <w:t>/* src/App.css - Icon Flipping Utility */</w:t>
              <w:br/>
              <w:t>[dir="rtl"] .rtl-flip {</w:t>
              <w:br/>
              <w:t xml:space="preserve">  transform: scaleX(-1);</w:t>
              <w:br/>
              <w:t xml:space="preserve">  display: inline-block;</w:t>
              <w:br/>
              <w:t>}</w:t>
              <w:br/>
              <w:br/>
              <w:t>[dir="rtl"] .rtl-rotate-180 {</w:t>
              <w:br/>
              <w:t xml:space="preserve">  transform: rotate(180deg);</w:t>
              <w:br/>
              <w:t xml:space="preserve">  display: inline-block;</w:t>
              <w:br/>
              <w:t>}</w:t>
              <w:br/>
              <w:br/>
              <w:t>/* Example Usage in Component:</w:t>
              <w:br/>
              <w:t xml:space="preserve"> * &lt;CaretRight size={16} className="rtl-flip" /&gt;</w:t>
              <w:br/>
              <w:t xml:space="preserve"> * &lt;PaperPlaneTilt size={16} className="rtl-flip" /&gt;</w:t>
              <w:br/>
              <w:t xml:space="preserve"> */</w:t>
            </w:r>
          </w:p>
        </w:tc>
      </w:tr>
    </w:tbl>
    <w:p>
      <w:pPr>
        <w:spacing w:before="0" w:after="60"/>
      </w:pPr>
    </w:p>
    <w:p>
      <w:pPr>
        <w:keepNext/>
        <w:spacing w:before="200" w:after="60"/>
      </w:pPr>
      <w:r>
        <w:rPr>
          <w:rFonts w:ascii="Arial" w:hAnsi="Arial"/>
          <w:b/>
          <w:color w:val="2B6CB0"/>
          <w:sz w:val="24"/>
        </w:rPr>
        <w:t>3.6 Section S6: Multi-Tiered Testing Strategy &amp; Quality Assurance</w:t>
      </w:r>
    </w:p>
    <w:p>
      <w:pPr>
        <w:spacing w:before="0" w:after="80" w:line="276" w:lineRule="auto"/>
      </w:pPr>
      <w:r>
        <w:rPr>
          <w:rFonts w:ascii="Calibri" w:hAnsi="Calibri"/>
          <w:i w:val="0"/>
          <w:color w:val="2D3748"/>
          <w:sz w:val="20"/>
        </w:rPr>
        <w:t>To ensure zero regression and 100% translation completeness across all 51 views, QuickBox mandates a 4-tier verification protocol spanning developer tooling, automated browser snapshots, pseudo-localization, and native financial CPA audit.</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187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QA Tier</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Testing Methodology</w:t>
            </w:r>
          </w:p>
        </w:tc>
        <w:tc>
          <w:tcPr>
            <w:tcW w:type="dxa" w:w="201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Target Scope</w:t>
            </w:r>
          </w:p>
        </w:tc>
        <w:tc>
          <w:tcPr>
            <w:tcW w:type="dxa" w:w="316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Verification Tool &amp; Pass Criteria</w:t>
            </w:r>
          </w:p>
        </w:tc>
      </w:tr>
      <w:tr>
        <w:trPr>
          <w:cantSplit/>
        </w:trPr>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Tier 1: Browser DevTools Forced RTL</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Local manual audit in Chrome / Edge Rendering panel setting document.documentElement.dir = "rtl".</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All 51 views &amp; popovers</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Zero horizontal body scroll, perfect alignment of floating tooltips and toast alerts.</w:t>
            </w:r>
          </w:p>
        </w:tc>
      </w:tr>
      <w:tr>
        <w:trPr>
          <w:cantSplit/>
        </w:trPr>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Tier 2: Automated Visual Regression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Playwright automated screenshot comparison capturing 1440x900 viewports in both EN and AR.</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All 24 main routed paths</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npm run test:visual -- maxDiffPixelRatio &lt;= 0.002. Automated pixel diffing against gold baseline.</w:t>
            </w:r>
          </w:p>
        </w:tc>
      </w:tr>
      <w:tr>
        <w:trPr>
          <w:cantSplit/>
        </w:trPr>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Tier 3: Pseudo-Localization Engine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Automated transformation replacing ASCII text with accented Unicode (e.g. [!!! ???? ??????? !!!]) with 35% character expansion.</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Whole application scan</w:t>
            </w:r>
          </w:p>
        </w:tc>
        <w:tc>
          <w:tcPr>
            <w:tcW w:type="dxa" w:w="316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Instantly exposes hardcoded strings (strings without brackets) and cramped containers.</w:t>
            </w:r>
          </w:p>
        </w:tc>
      </w:tr>
      <w:tr>
        <w:trPr>
          <w:cantSplit/>
        </w:trPr>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Tier 4: Native Speaker CPA Review</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Standardized linguistic and accounting review conducted by a bilingual Jordanian Certified Public Accountant.</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Jordanian Tax &amp; GL views</w:t>
            </w:r>
          </w:p>
        </w:tc>
        <w:tc>
          <w:tcPr>
            <w:tcW w:type="dxa" w:w="316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Verification of official Jordanian accounting nomenclature (e.g. ????? ????????, ??? ?????, ???????? ?????? ?????????).</w:t>
            </w:r>
          </w:p>
        </w:tc>
      </w:tr>
    </w:tbl>
    <w:p>
      <w:pPr>
        <w:spacing w:before="0" w:after="60"/>
      </w:pPr>
    </w:p>
    <w:p>
      <w:pPr>
        <w:keepNext/>
        <w:spacing w:before="280" w:after="80"/>
      </w:pPr>
      <w:r>
        <w:rPr>
          <w:rFonts w:ascii="Arial" w:hAnsi="Arial"/>
          <w:b/>
          <w:color w:val="1A365D"/>
          <w:sz w:val="29"/>
        </w:rPr>
        <w:t>4. Phased Master Implementation Plan (8 Comprehensive Phases)</w:t>
      </w:r>
    </w:p>
    <w:p>
      <w:pPr>
        <w:spacing w:before="0" w:after="80" w:line="276" w:lineRule="auto"/>
      </w:pPr>
      <w:r>
        <w:rPr>
          <w:rFonts w:ascii="Calibri" w:hAnsi="Calibri"/>
          <w:i w:val="0"/>
          <w:color w:val="2D3748"/>
          <w:sz w:val="20"/>
        </w:rPr>
        <w:t>The internationalization roadmap is structured into 8 sequential, non-destructive phases. Each phase establishes verifiable deliverables, target files, exact code modifications, and programmatic exit criteria. The application remains 100% buildable and functional at every milestone.</w:t>
      </w:r>
    </w:p>
    <w:p>
      <w:pPr>
        <w:keepNext/>
        <w:spacing w:before="200" w:after="60"/>
      </w:pPr>
      <w:r>
        <w:rPr>
          <w:rFonts w:ascii="Arial" w:hAnsi="Arial"/>
          <w:b/>
          <w:color w:val="2B6CB0"/>
          <w:sz w:val="24"/>
        </w:rPr>
        <w:t>4.1 Phase 1: Foundation, Dependencies &amp; Dynamic Translation Backend</w:t>
      </w:r>
    </w:p>
    <w:p>
      <w:pPr>
        <w:spacing w:before="0" w:after="80" w:line="276" w:lineRule="auto"/>
      </w:pPr>
      <w:r>
        <w:rPr>
          <w:rFonts w:ascii="Calibri" w:hAnsi="Calibri"/>
          <w:i w:val="0"/>
          <w:color w:val="2D3748"/>
          <w:sz w:val="20"/>
        </w:rPr>
        <w:t>Milestone Objective: Install internationalization libraries, initialize the react-i18next runtime, and configure dynamic namespace chunking.</w:t>
      </w:r>
    </w:p>
    <w:p>
      <w:pPr>
        <w:pStyle w:val="ListBullet"/>
        <w:spacing w:before="0" w:after="40" w:line="276" w:lineRule="auto"/>
      </w:pPr>
      <w:r>
        <w:rPr>
          <w:rFonts w:ascii="Calibri" w:hAnsi="Calibri"/>
          <w:color w:val="2D3748"/>
          <w:sz w:val="19"/>
        </w:rPr>
        <w:t>Files Modified / Created:</w:t>
      </w:r>
    </w:p>
    <w:p>
      <w:pPr>
        <w:pStyle w:val="ListBullet"/>
        <w:spacing w:before="0" w:after="40" w:line="276" w:lineRule="auto"/>
      </w:pPr>
      <w:r>
        <w:rPr>
          <w:rFonts w:ascii="Calibri" w:hAnsi="Calibri"/>
          <w:color w:val="2D3748"/>
          <w:sz w:val="19"/>
        </w:rPr>
        <w:t>package.json: Add i18next (^24.2), react-i18next (^15.4), i18next-browser-languagedetector (^8.0), i18next-resources-to-backend (^1.2), and devDependencies i18next-parser (^9.0).</w:t>
      </w:r>
    </w:p>
    <w:p>
      <w:pPr>
        <w:pStyle w:val="ListBullet"/>
        <w:spacing w:before="0" w:after="40" w:line="276" w:lineRule="auto"/>
      </w:pPr>
      <w:r>
        <w:rPr>
          <w:rFonts w:ascii="Calibri" w:hAnsi="Calibri"/>
          <w:color w:val="2D3748"/>
          <w:sz w:val="19"/>
        </w:rPr>
        <w:t>src/i18n/config.js: Create centralized i18n configuration with Vite dynamic import loader and direction synchronizer.</w:t>
      </w:r>
    </w:p>
    <w:p>
      <w:pPr>
        <w:pStyle w:val="ListBullet"/>
        <w:spacing w:before="0" w:after="40" w:line="276" w:lineRule="auto"/>
      </w:pPr>
      <w:r>
        <w:rPr>
          <w:rFonts w:ascii="Calibri" w:hAnsi="Calibri"/>
          <w:color w:val="2D3748"/>
          <w:sz w:val="19"/>
        </w:rPr>
        <w:t>src/main.jsx: Import `src/i18n/config.js` prior to root React component rendering.</w:t>
      </w:r>
    </w:p>
    <w:p>
      <w:pPr>
        <w:pStyle w:val="ListBullet"/>
        <w:spacing w:before="0" w:after="40" w:line="276" w:lineRule="auto"/>
      </w:pPr>
      <w:r>
        <w:rPr>
          <w:rFonts w:ascii="Calibri" w:hAnsi="Calibri"/>
          <w:color w:val="2D3748"/>
          <w:sz w:val="19"/>
        </w:rPr>
        <w:t>public/locales/ (or src/i18n/locales/): Establish 7 namespace JSON directories for `en/` and `ar/`.</w:t>
      </w:r>
    </w:p>
    <w:tbl>
      <w:tblPr>
        <w:tblW w:type="auto" w:w="0"/>
        <w:jc w:val="center"/>
        <w:tblLayout w:type="fixed"/>
        <w:tblLook w:firstColumn="1" w:firstRow="1" w:lastColumn="0" w:lastRow="0" w:noHBand="0" w:noVBand="1" w:val="04A0"/>
      </w:tblPr>
      <w:tblGrid>
        <w:gridCol w:w="9648"/>
      </w:tblGrid>
      <w:tr>
        <w:tc>
          <w:tcPr>
            <w:tcW w:type="dxa" w:w="9648"/>
            <w:shd w:fill="EDF2F7"/>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0" w:after="0" w:line="252" w:lineRule="auto"/>
            </w:pPr>
            <w:r>
              <w:rPr>
                <w:rFonts w:ascii="Consolas" w:hAnsi="Consolas"/>
                <w:i/>
                <w:color w:val="718096"/>
                <w:sz w:val="16"/>
              </w:rPr>
              <w:t>// [JavaScript (Phase 1)]</w:t>
              <w:br/>
            </w:r>
            <w:r>
              <w:rPr>
                <w:rFonts w:ascii="Consolas" w:hAnsi="Consolas"/>
                <w:color w:val="1A202C"/>
                <w:sz w:val="17"/>
              </w:rPr>
              <w:t>// src/i18n/config.js</w:t>
              <w:br/>
              <w:t>import i18n from 'i18next';</w:t>
              <w:br/>
              <w:t>import { initReactI18next } from 'react-i18next';</w:t>
              <w:br/>
              <w:t>import LanguageDetector from 'i18next-browser-languagedetector';</w:t>
              <w:br/>
              <w:t>import resourcesToBackend from 'i18next-resources-to-backend';</w:t>
              <w:br/>
              <w:br/>
              <w:t>// Lazy loader mapped directly to Vite dynamic import chunks</w:t>
              <w:br/>
              <w:t>const dynamicResourceLoader = resourcesToBackend((language, namespace) =&gt; {</w:t>
              <w:br/>
              <w:t xml:space="preserve">  return import(`./locales/${language}/${namespace}.json`);</w:t>
              <w:br/>
              <w:t>});</w:t>
              <w:br/>
              <w:br/>
              <w:t>export const applyDocumentDirection = (lang) =&gt; {</w:t>
              <w:br/>
              <w:t xml:space="preserve">  const isArabic = lang &amp;&amp; lang.startsWith('ar');</w:t>
              <w:br/>
              <w:t xml:space="preserve">  const dir = isArabic ? 'rtl' : 'ltr';</w:t>
              <w:br/>
              <w:t xml:space="preserve">  const langCode = isArabic ? 'ar' : 'en';</w:t>
              <w:br/>
              <w:br/>
              <w:t xml:space="preserve">  document.documentElement.setAttribute('dir', dir);</w:t>
              <w:br/>
              <w:t xml:space="preserve">  document.documentElement.setAttribute('lang', langCode);</w:t>
              <w:br/>
              <w:t xml:space="preserve">  document.body.setAttribute('data-direction', dir);</w:t>
              <w:br/>
              <w:t>};</w:t>
              <w:br/>
              <w:br/>
              <w:t>i18n</w:t>
              <w:br/>
              <w:t xml:space="preserve">  .use(dynamicResourceLoader)</w:t>
              <w:br/>
              <w:t xml:space="preserve">  .use(LanguageDetector)</w:t>
              <w:br/>
              <w:t xml:space="preserve">  .use(initReactI18next)</w:t>
              <w:br/>
              <w:t xml:space="preserve">  .init({</w:t>
              <w:br/>
              <w:t xml:space="preserve">    fallbackLng: 'en',</w:t>
              <w:br/>
              <w:t xml:space="preserve">    supportedLngs: ['en', 'ar'],</w:t>
              <w:br/>
              <w:t xml:space="preserve">    defaultNS: 'common',</w:t>
              <w:br/>
              <w:t xml:space="preserve">    fallbackNS: 'common',</w:t>
              <w:br/>
              <w:t xml:space="preserve">    ns: ['common', 'sidebar', 'topbar', 'notifications'],</w:t>
              <w:br/>
              <w:t xml:space="preserve">    interpolation: { escapeValue: false },</w:t>
              <w:br/>
              <w:t xml:space="preserve">    detection: {</w:t>
              <w:br/>
              <w:t xml:space="preserve">      order: ['localStorage', 'navigator', 'htmlTag'],</w:t>
              <w:br/>
              <w:t xml:space="preserve">      lookupLocalStorage: 'quickbox_i18n_lang',</w:t>
              <w:br/>
              <w:t xml:space="preserve">      caches: ['localStorage'],</w:t>
              <w:br/>
              <w:t xml:space="preserve">    },</w:t>
              <w:br/>
              <w:t xml:space="preserve">  });</w:t>
              <w:br/>
              <w:br/>
              <w:t>i18n.on('languageChanged', (lng) =&gt; applyDocumentDirection(lng));</w:t>
              <w:br/>
              <w:t>applyDocumentDirection(i18n.language || 'en');</w:t>
              <w:br/>
              <w:br/>
              <w:t>export default i18n;</w:t>
            </w:r>
          </w:p>
        </w:tc>
      </w:tr>
    </w:tbl>
    <w:p>
      <w:pPr>
        <w:spacing w:before="0" w:after="60"/>
      </w:pP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`npm run build` exits 0. `i18n.isInitialized === true` in browser console.</w:t>
      </w:r>
    </w:p>
    <w:p>
      <w:pPr>
        <w:keepNext/>
        <w:spacing w:before="200" w:after="60"/>
      </w:pPr>
      <w:r>
        <w:rPr>
          <w:rFonts w:ascii="Arial" w:hAnsi="Arial"/>
          <w:b/>
          <w:color w:val="2B6CB0"/>
          <w:sz w:val="24"/>
        </w:rPr>
        <w:t>4.2 Phase 2: Global Shell &amp; RTL Layout Engine</w:t>
      </w:r>
    </w:p>
    <w:p>
      <w:pPr>
        <w:spacing w:before="0" w:after="80" w:line="276" w:lineRule="auto"/>
      </w:pPr>
      <w:r>
        <w:rPr>
          <w:rFonts w:ascii="Calibri" w:hAnsi="Calibri"/>
          <w:i w:val="0"/>
          <w:color w:val="2D3748"/>
          <w:sz w:val="20"/>
        </w:rPr>
        <w:t>Milestone Objective: Localize main navigation, topbar controls, layout wrappers, and implement the atomic language toggle.</w:t>
      </w:r>
    </w:p>
    <w:p>
      <w:pPr>
        <w:pStyle w:val="ListBullet"/>
        <w:spacing w:before="0" w:after="40" w:line="276" w:lineRule="auto"/>
      </w:pPr>
      <w:r>
        <w:rPr>
          <w:rFonts w:ascii="Calibri" w:hAnsi="Calibri"/>
          <w:color w:val="2D3748"/>
          <w:sz w:val="19"/>
        </w:rPr>
        <w:t>Files Modified:</w:t>
      </w:r>
    </w:p>
    <w:p>
      <w:pPr>
        <w:pStyle w:val="ListBullet"/>
        <w:spacing w:before="0" w:after="40" w:line="276" w:lineRule="auto"/>
      </w:pPr>
      <w:r>
        <w:rPr>
          <w:rFonts w:ascii="Calibri" w:hAnsi="Calibri"/>
          <w:color w:val="2D3748"/>
          <w:sz w:val="19"/>
        </w:rPr>
        <w:t>src/components/Sidebar.jsx: Replace hardcoded strings with `t(key, { ns: "sidebar" })`. Widen width to 260px in RTL.</w:t>
      </w:r>
    </w:p>
    <w:p>
      <w:pPr>
        <w:pStyle w:val="ListBullet"/>
        <w:spacing w:before="0" w:after="40" w:line="276" w:lineRule="auto"/>
      </w:pPr>
      <w:r>
        <w:rPr>
          <w:rFonts w:ascii="Calibri" w:hAnsi="Calibri"/>
          <w:color w:val="2D3748"/>
          <w:sz w:val="19"/>
        </w:rPr>
        <w:t>src/components/Topbar.jsx: Mount &lt;LanguageToggle /&gt;, translate search placeholder and audit/alerts tooltips.</w:t>
      </w:r>
    </w:p>
    <w:p>
      <w:pPr>
        <w:pStyle w:val="ListBullet"/>
        <w:spacing w:before="0" w:after="40" w:line="276" w:lineRule="auto"/>
      </w:pPr>
      <w:r>
        <w:rPr>
          <w:rFonts w:ascii="Calibri" w:hAnsi="Calibri"/>
          <w:color w:val="2D3748"/>
          <w:sz w:val="19"/>
        </w:rPr>
        <w:t>src/components/Layout.jsx: Ensure main content margin adapts to `margin-inline-start: 260px`.</w:t>
      </w:r>
    </w:p>
    <w:p>
      <w:pPr>
        <w:pStyle w:val="ListBullet"/>
        <w:spacing w:before="0" w:after="40" w:line="276" w:lineRule="auto"/>
      </w:pPr>
      <w:r>
        <w:rPr>
          <w:rFonts w:ascii="Calibri" w:hAnsi="Calibri"/>
          <w:color w:val="2D3748"/>
          <w:sz w:val="19"/>
        </w:rPr>
        <w:t>src/components/LanguageToggle.jsx: Implement new toggle button with Phosphor Globe icon.</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Clicking language toggle switches HTML `dir="rtl"` and changes sidebar text to Arabic with zero visual clipping.</w:t>
      </w:r>
    </w:p>
    <w:p>
      <w:pPr>
        <w:keepNext/>
        <w:spacing w:before="200" w:after="60"/>
      </w:pPr>
      <w:r>
        <w:rPr>
          <w:rFonts w:ascii="Arial" w:hAnsi="Arial"/>
          <w:b/>
          <w:color w:val="2B6CB0"/>
          <w:sz w:val="24"/>
        </w:rPr>
        <w:t>4.3 Phase 3: Core Infrastructure, Utilities &amp; Supervisor Components</w:t>
      </w:r>
    </w:p>
    <w:p>
      <w:pPr>
        <w:spacing w:before="0" w:after="80" w:line="276" w:lineRule="auto"/>
      </w:pPr>
      <w:r>
        <w:rPr>
          <w:rFonts w:ascii="Calibri" w:hAnsi="Calibri"/>
          <w:i w:val="0"/>
          <w:color w:val="2D3748"/>
          <w:sz w:val="20"/>
        </w:rPr>
        <w:t>Milestone Objective: Deploy formatting helpers and BiDi isolation wrapper components.</w:t>
      </w:r>
    </w:p>
    <w:p>
      <w:pPr>
        <w:pStyle w:val="ListBullet"/>
        <w:spacing w:before="0" w:after="40" w:line="276" w:lineRule="auto"/>
      </w:pPr>
      <w:r>
        <w:rPr>
          <w:rFonts w:ascii="Calibri" w:hAnsi="Calibri"/>
          <w:color w:val="2D3748"/>
          <w:sz w:val="19"/>
        </w:rPr>
        <w:t>Files Created:</w:t>
      </w:r>
    </w:p>
    <w:p>
      <w:pPr>
        <w:pStyle w:val="ListBullet"/>
        <w:spacing w:before="0" w:after="40" w:line="276" w:lineRule="auto"/>
      </w:pPr>
      <w:r>
        <w:rPr>
          <w:rFonts w:ascii="Calibri" w:hAnsi="Calibri"/>
          <w:color w:val="2D3748"/>
          <w:sz w:val="19"/>
        </w:rPr>
        <w:t>src/utils/fontLoader.js: Conditional Cairo/Tajawal font link injector.</w:t>
      </w:r>
    </w:p>
    <w:p>
      <w:pPr>
        <w:pStyle w:val="ListBullet"/>
        <w:spacing w:before="0" w:after="40" w:line="276" w:lineRule="auto"/>
      </w:pPr>
      <w:r>
        <w:rPr>
          <w:rFonts w:ascii="Calibri" w:hAnsi="Calibri"/>
          <w:color w:val="2D3748"/>
          <w:sz w:val="19"/>
        </w:rPr>
        <w:t>src/utils/numberFormatters.js: Western numerals formatters with JoPACC / WPS SIF support.</w:t>
      </w:r>
    </w:p>
    <w:p>
      <w:pPr>
        <w:pStyle w:val="ListBullet"/>
        <w:spacing w:before="0" w:after="40" w:line="276" w:lineRule="auto"/>
      </w:pPr>
      <w:r>
        <w:rPr>
          <w:rFonts w:ascii="Calibri" w:hAnsi="Calibri"/>
          <w:color w:val="2D3748"/>
          <w:sz w:val="19"/>
        </w:rPr>
        <w:t>src/components/common/BidiInput.jsx: BiDi input control with strict LTR isolation.</w:t>
      </w:r>
    </w:p>
    <w:p>
      <w:pPr>
        <w:pStyle w:val="ListBullet"/>
        <w:spacing w:before="0" w:after="40" w:line="276" w:lineRule="auto"/>
      </w:pPr>
      <w:r>
        <w:rPr>
          <w:rFonts w:ascii="Calibri" w:hAnsi="Calibri"/>
          <w:color w:val="2D3748"/>
          <w:sz w:val="19"/>
        </w:rPr>
        <w:t>src/components/common/Icon.jsx: RTL-aware icon wrapper with `.rtl-flip` support.</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Unit tests for `formatCurrency(1250, { locale: "ar-JO" })` return "1,250.00 ?.?" using Western digits.</w:t>
      </w:r>
    </w:p>
    <w:p>
      <w:pPr>
        <w:keepNext/>
        <w:spacing w:before="200" w:after="60"/>
      </w:pPr>
      <w:r>
        <w:rPr>
          <w:rFonts w:ascii="Arial" w:hAnsi="Arial"/>
          <w:b/>
          <w:color w:val="2B6CB0"/>
          <w:sz w:val="24"/>
        </w:rPr>
        <w:t>4.4 Phase 4: CSS Migration to Logical Properties</w:t>
      </w:r>
    </w:p>
    <w:p>
      <w:pPr>
        <w:spacing w:before="0" w:after="80" w:line="276" w:lineRule="auto"/>
      </w:pPr>
      <w:r>
        <w:rPr>
          <w:rFonts w:ascii="Calibri" w:hAnsi="Calibri"/>
          <w:i w:val="0"/>
          <w:color w:val="2D3748"/>
          <w:sz w:val="20"/>
        </w:rPr>
        <w:t>Milestone Objective: Refactor `App.css` and 266 inline style declarations to modern CSS Logical Properties.</w:t>
      </w:r>
    </w:p>
    <w:p>
      <w:pPr>
        <w:pStyle w:val="ListBullet"/>
        <w:spacing w:before="0" w:after="40" w:line="276" w:lineRule="auto"/>
      </w:pPr>
      <w:r>
        <w:rPr>
          <w:rFonts w:ascii="Calibri" w:hAnsi="Calibri"/>
          <w:color w:val="2D3748"/>
          <w:sz w:val="19"/>
        </w:rPr>
        <w:t>Files Modified:</w:t>
      </w:r>
    </w:p>
    <w:p>
      <w:pPr>
        <w:pStyle w:val="ListBullet"/>
        <w:spacing w:before="0" w:after="40" w:line="276" w:lineRule="auto"/>
      </w:pPr>
      <w:r>
        <w:rPr>
          <w:rFonts w:ascii="Calibri" w:hAnsi="Calibri"/>
          <w:color w:val="2D3748"/>
          <w:sz w:val="19"/>
        </w:rPr>
        <w:t>src/App.css: Convert 34+ physical selectors (border-right, margin-left, right:0, text-align:left) to logical equivalents.</w:t>
      </w:r>
    </w:p>
    <w:p>
      <w:pPr>
        <w:pStyle w:val="ListBullet"/>
        <w:spacing w:before="0" w:after="40" w:line="276" w:lineRule="auto"/>
      </w:pPr>
      <w:r>
        <w:rPr>
          <w:rFonts w:ascii="Calibri" w:hAnsi="Calibri"/>
          <w:color w:val="2D3748"/>
          <w:sz w:val="19"/>
        </w:rPr>
        <w:t>src/index.css: Define dynamic CSS custom properties `--font-primary` and typography tokens.</w:t>
      </w:r>
    </w:p>
    <w:p>
      <w:pPr>
        <w:pStyle w:val="ListBullet"/>
        <w:spacing w:before="0" w:after="40" w:line="276" w:lineRule="auto"/>
      </w:pPr>
      <w:r>
        <w:rPr>
          <w:rFonts w:ascii="Calibri" w:hAnsi="Calibri"/>
          <w:color w:val="2D3748"/>
          <w:sz w:val="19"/>
        </w:rPr>
        <w:t>23 JSX component files: Replace inline `paddingLeft`, `marginLeft`, and `textAlign: "right"` with `paddingInlineStart`, `marginInlineStart`, and `textAlign: "end"`.</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Zero physical directional properties remain in App.css. Verified via static linter.</w:t>
      </w:r>
    </w:p>
    <w:p>
      <w:pPr>
        <w:keepNext/>
        <w:spacing w:before="200" w:after="60"/>
      </w:pPr>
      <w:r>
        <w:rPr>
          <w:rFonts w:ascii="Arial" w:hAnsi="Arial"/>
          <w:b/>
          <w:color w:val="2B6CB0"/>
          <w:sz w:val="24"/>
        </w:rPr>
        <w:t>4.5 Phase 5: Inventory &amp; Operations Module Localization (16 Views &amp; Components)</w:t>
      </w:r>
    </w:p>
    <w:p>
      <w:pPr>
        <w:spacing w:before="0" w:after="80" w:line="276" w:lineRule="auto"/>
      </w:pPr>
      <w:r>
        <w:rPr>
          <w:rFonts w:ascii="Calibri" w:hAnsi="Calibri"/>
          <w:i w:val="0"/>
          <w:color w:val="2D3748"/>
          <w:sz w:val="20"/>
        </w:rPr>
        <w:t>Milestone Objective: Localize all 16 inventory domain views, grids, and transactional modals.</w:t>
      </w:r>
    </w:p>
    <w:p>
      <w:pPr>
        <w:pStyle w:val="ListBullet"/>
        <w:spacing w:before="0" w:after="40" w:line="276" w:lineRule="auto"/>
      </w:pPr>
      <w:r>
        <w:rPr>
          <w:rFonts w:ascii="Calibri" w:hAnsi="Calibri"/>
          <w:color w:val="2D3748"/>
          <w:sz w:val="19"/>
        </w:rPr>
        <w:t>Components Localized:</w:t>
      </w:r>
    </w:p>
    <w:p>
      <w:pPr>
        <w:pStyle w:val="ListBullet"/>
        <w:spacing w:before="0" w:after="40" w:line="276" w:lineRule="auto"/>
      </w:pPr>
      <w:r>
        <w:rPr>
          <w:rFonts w:ascii="Calibri" w:hAnsi="Calibri"/>
          <w:color w:val="2D3748"/>
          <w:sz w:val="19"/>
        </w:rPr>
        <w:t>DashboardView.jsx: 4 KPI metrics, 30-day SVG trend chart labels, category breakdown, below-threshold table.</w:t>
      </w:r>
    </w:p>
    <w:p>
      <w:pPr>
        <w:pStyle w:val="ListBullet"/>
        <w:spacing w:before="0" w:after="40" w:line="276" w:lineRule="auto"/>
      </w:pPr>
      <w:r>
        <w:rPr>
          <w:rFonts w:ascii="Calibri" w:hAnsi="Calibri"/>
          <w:color w:val="2D3748"/>
          <w:sz w:val="19"/>
        </w:rPr>
        <w:t>InventoryView.jsx: Master inventory grid, category tabs, metric summary ribbon, CSV export button.</w:t>
      </w:r>
    </w:p>
    <w:p>
      <w:pPr>
        <w:pStyle w:val="ListBullet"/>
        <w:spacing w:before="0" w:after="40" w:line="276" w:lineRule="auto"/>
      </w:pPr>
      <w:r>
        <w:rPr>
          <w:rFonts w:ascii="Calibri" w:hAnsi="Calibri"/>
          <w:color w:val="2D3748"/>
          <w:sz w:val="19"/>
        </w:rPr>
        <w:t>StockOpsView.jsx: Two-pane transaction console (Receive, Issue, Transfer, Checkout, Return), batch table.</w:t>
      </w:r>
    </w:p>
    <w:p>
      <w:pPr>
        <w:pStyle w:val="ListBullet"/>
        <w:spacing w:before="0" w:after="40" w:line="276" w:lineRule="auto"/>
      </w:pPr>
      <w:r>
        <w:rPr>
          <w:rFonts w:ascii="Calibri" w:hAnsi="Calibri"/>
          <w:color w:val="2D3748"/>
          <w:sz w:val="19"/>
        </w:rPr>
        <w:t>AuditLogsView.jsx: Nested transaction master-detail audit log tables, batch filters.</w:t>
      </w:r>
    </w:p>
    <w:p>
      <w:pPr>
        <w:pStyle w:val="ListBullet"/>
        <w:spacing w:before="0" w:after="40" w:line="276" w:lineRule="auto"/>
      </w:pPr>
      <w:r>
        <w:rPr>
          <w:rFonts w:ascii="Calibri" w:hAnsi="Calibri"/>
          <w:color w:val="2D3748"/>
          <w:sz w:val="19"/>
        </w:rPr>
        <w:t>RopAlertsView.jsx: Reorder point alert cards, automated supplier email drafting console.</w:t>
      </w:r>
    </w:p>
    <w:p>
      <w:pPr>
        <w:pStyle w:val="ListBullet"/>
        <w:spacing w:before="0" w:after="40" w:line="276" w:lineRule="auto"/>
      </w:pPr>
      <w:r>
        <w:rPr>
          <w:rFonts w:ascii="Calibri" w:hAnsi="Calibri"/>
          <w:color w:val="2D3748"/>
          <w:sz w:val="19"/>
        </w:rPr>
        <w:t>ReportsView.jsx: 4 reporting tabs (Stock Valuation, Movement Summary, Reorder Report, In-Use Equipment Tracker).</w:t>
      </w:r>
    </w:p>
    <w:p>
      <w:pPr>
        <w:pStyle w:val="ListBullet"/>
        <w:spacing w:before="0" w:after="40" w:line="276" w:lineRule="auto"/>
      </w:pPr>
      <w:r>
        <w:rPr>
          <w:rFonts w:ascii="Calibri" w:hAnsi="Calibri"/>
          <w:color w:val="2D3748"/>
          <w:sz w:val="19"/>
        </w:rPr>
        <w:t>PurchaseOrdersView.jsx &amp; SuppliersView.jsx: PO tables, vendor directory, status badges.</w:t>
      </w:r>
    </w:p>
    <w:p>
      <w:pPr>
        <w:pStyle w:val="ListBullet"/>
        <w:spacing w:before="0" w:after="40" w:line="276" w:lineRule="auto"/>
      </w:pPr>
      <w:r>
        <w:rPr>
          <w:rFonts w:ascii="Calibri" w:hAnsi="Calibri"/>
          <w:color w:val="2D3748"/>
          <w:sz w:val="19"/>
        </w:rPr>
        <w:t>SettingsView.jsx: User profile forms, system preferences, warehouse storage locations.</w:t>
      </w:r>
    </w:p>
    <w:p>
      <w:pPr>
        <w:pStyle w:val="ListBullet"/>
        <w:spacing w:before="0" w:after="40" w:line="276" w:lineRule="auto"/>
      </w:pPr>
      <w:r>
        <w:rPr>
          <w:rFonts w:ascii="Calibri" w:hAnsi="Calibri"/>
          <w:color w:val="2D3748"/>
          <w:sz w:val="19"/>
        </w:rPr>
        <w:t>InventoryTable.jsx, Filters.jsx, Pagination.jsx, ToastNotification.jsx, ErrorBoundary.jsx: Reusable sub-components.</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Full end-to-end inventory flow (Add Item -&gt; Stock Ops -&gt; Audit Log) operates seamlessly in Arabic.</w:t>
      </w:r>
    </w:p>
    <w:p>
      <w:pPr>
        <w:keepNext/>
        <w:spacing w:before="200" w:after="60"/>
      </w:pPr>
      <w:r>
        <w:rPr>
          <w:rFonts w:ascii="Arial" w:hAnsi="Arial"/>
          <w:b/>
          <w:color w:val="2B6CB0"/>
          <w:sz w:val="24"/>
        </w:rPr>
        <w:t>4.6 Phase 6: Finance &amp; Accounting Module Localization (27 Views)</w:t>
      </w:r>
    </w:p>
    <w:p>
      <w:pPr>
        <w:spacing w:before="0" w:after="80" w:line="276" w:lineRule="auto"/>
      </w:pPr>
      <w:r>
        <w:rPr>
          <w:rFonts w:ascii="Calibri" w:hAnsi="Calibri"/>
          <w:i w:val="0"/>
          <w:color w:val="2D3748"/>
          <w:sz w:val="20"/>
        </w:rPr>
        <w:t>Milestone Objective: Localize all 27 financial views across core accounting, Jordanian regulations, and tax engines.</w:t>
      </w:r>
    </w:p>
    <w:p>
      <w:pPr>
        <w:pStyle w:val="ListBullet"/>
        <w:spacing w:before="0" w:after="40" w:line="276" w:lineRule="auto"/>
      </w:pPr>
      <w:r>
        <w:rPr>
          <w:rFonts w:ascii="Calibri" w:hAnsi="Calibri"/>
          <w:color w:val="2D3748"/>
          <w:sz w:val="19"/>
        </w:rPr>
        <w:t>Components Localized:</w:t>
      </w:r>
    </w:p>
    <w:p>
      <w:pPr>
        <w:pStyle w:val="ListBullet"/>
        <w:spacing w:before="0" w:after="40" w:line="276" w:lineRule="auto"/>
      </w:pPr>
      <w:r>
        <w:rPr>
          <w:rFonts w:ascii="Calibri" w:hAnsi="Calibri"/>
          <w:color w:val="2D3748"/>
          <w:sz w:val="19"/>
        </w:rPr>
        <w:t>Core Financials: FinancialDashboardView (F1), GeneralLedgerView (F2), ThreeWayMatchingView (F3), AccountsPayableView (F4), AccountsReceivableView (F5), PartyDirectoryView (F6), ValuationRulesView (F7), CostCentersView (F8), FixedAssetsView (F9), PayrollVatView (F10), FinancialStatementsView (F11).</w:t>
      </w:r>
    </w:p>
    <w:p>
      <w:pPr>
        <w:pStyle w:val="ListBullet"/>
        <w:spacing w:before="0" w:after="40" w:line="276" w:lineRule="auto"/>
      </w:pPr>
      <w:r>
        <w:rPr>
          <w:rFonts w:ascii="Calibri" w:hAnsi="Calibri"/>
          <w:color w:val="2D3748"/>
          <w:sz w:val="19"/>
        </w:rPr>
        <w:t>6 Jordanian Research Topics: BudgetingForecastingView (Topic 1), AccountReconciliationView (Topic 2), InternalControlsView (Topic 4), TenderBidAuditingView (Topic 5), CashFlowManagementView (Topic 6), FinancialPoliciesView (Topic 16).</w:t>
      </w:r>
    </w:p>
    <w:p>
      <w:pPr>
        <w:pStyle w:val="ListBullet"/>
        <w:spacing w:before="0" w:after="40" w:line="276" w:lineRule="auto"/>
      </w:pPr>
      <w:r>
        <w:rPr>
          <w:rFonts w:ascii="Calibri" w:hAnsi="Calibri"/>
          <w:color w:val="2D3748"/>
          <w:sz w:val="19"/>
        </w:rPr>
        <w:t>Jordanian Regulatory Engines: SocialSecurityView (SSC 14.25%/7.5%), IncomeTaxView (ISTD brackets 5%-30%), DeductionCalcView, PayrollProcessView (JoPACC WPS SIF export), ExpenseClassView (Articles 9 &amp; 10), FixedExpensesView, TaxExemptionsView (Sales tax rates 16%/10%/4%/0%), FinancialPolicyView, CashFlowView, TenderAuditingView.</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Financial statements, journal vouchers, and WPS SIF generation display authentic Jordanian accounting terms.</w:t>
      </w:r>
    </w:p>
    <w:p>
      <w:pPr>
        <w:keepNext/>
        <w:spacing w:before="200" w:after="60"/>
      </w:pPr>
      <w:r>
        <w:rPr>
          <w:rFonts w:ascii="Arial" w:hAnsi="Arial"/>
          <w:b/>
          <w:color w:val="2B6CB0"/>
          <w:sz w:val="24"/>
        </w:rPr>
        <w:t>4.7 Phase 7: Bilingual Print &amp; PDF Export Engine</w:t>
      </w:r>
    </w:p>
    <w:p>
      <w:pPr>
        <w:spacing w:before="0" w:after="80" w:line="276" w:lineRule="auto"/>
      </w:pPr>
      <w:r>
        <w:rPr>
          <w:rFonts w:ascii="Calibri" w:hAnsi="Calibri"/>
          <w:i w:val="0"/>
          <w:color w:val="2D3748"/>
          <w:sz w:val="20"/>
        </w:rPr>
        <w:t>Milestone Objective: Implement decoupled print and PDF export modal allowing on-the-fly language selection.</w:t>
      </w:r>
    </w:p>
    <w:p>
      <w:pPr>
        <w:pStyle w:val="ListBullet"/>
        <w:spacing w:before="0" w:after="40" w:line="276" w:lineRule="auto"/>
      </w:pPr>
      <w:r>
        <w:rPr>
          <w:rFonts w:ascii="Calibri" w:hAnsi="Calibri"/>
          <w:color w:val="2D3748"/>
          <w:sz w:val="19"/>
        </w:rPr>
        <w:t>Components Created / Modified:</w:t>
      </w:r>
    </w:p>
    <w:p>
      <w:pPr>
        <w:pStyle w:val="ListBullet"/>
        <w:spacing w:before="0" w:after="40" w:line="276" w:lineRule="auto"/>
      </w:pPr>
      <w:r>
        <w:rPr>
          <w:rFonts w:ascii="Calibri" w:hAnsi="Calibri"/>
          <w:color w:val="2D3748"/>
          <w:sz w:val="19"/>
        </w:rPr>
        <w:t>src/components/common/PrintModal.jsx: Language selection dialog and offscreen iframe sandbox controller.</w:t>
      </w:r>
    </w:p>
    <w:p>
      <w:pPr>
        <w:pStyle w:val="ListBullet"/>
        <w:spacing w:before="0" w:after="40" w:line="276" w:lineRule="auto"/>
      </w:pPr>
      <w:r>
        <w:rPr>
          <w:rFonts w:ascii="Calibri" w:hAnsi="Calibri"/>
          <w:color w:val="2D3748"/>
          <w:sz w:val="19"/>
        </w:rPr>
        <w:t>src/pages/ReportsView.jsx &amp; FinancialStatementsView.jsx: Attach PrintModal trigger to "Print" and "Export PDF" buttons.</w:t>
      </w:r>
    </w:p>
    <w:p>
      <w:pPr>
        <w:pStyle w:val="ListBullet"/>
        <w:spacing w:before="0" w:after="40" w:line="276" w:lineRule="auto"/>
      </w:pPr>
      <w:r>
        <w:rPr>
          <w:rFonts w:ascii="Calibri" w:hAnsi="Calibri"/>
          <w:color w:val="2D3748"/>
          <w:sz w:val="19"/>
        </w:rPr>
        <w:t>src/App.css: Dedicated `@media print` styling rules for clean document output.</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User in Arabic UI can print an English Balance Sheet without altering the dashboard language.</w:t>
      </w:r>
    </w:p>
    <w:p>
      <w:pPr>
        <w:keepNext/>
        <w:spacing w:before="200" w:after="60"/>
      </w:pPr>
      <w:r>
        <w:rPr>
          <w:rFonts w:ascii="Arial" w:hAnsi="Arial"/>
          <w:b/>
          <w:color w:val="2B6CB0"/>
          <w:sz w:val="24"/>
        </w:rPr>
        <w:t>4.8 Phase 8: CI/CD Pipeline, TMS Synchronization &amp; Multi-Tier QA Verification</w:t>
      </w:r>
    </w:p>
    <w:p>
      <w:pPr>
        <w:spacing w:before="0" w:after="80" w:line="276" w:lineRule="auto"/>
      </w:pPr>
      <w:r>
        <w:rPr>
          <w:rFonts w:ascii="Calibri" w:hAnsi="Calibri"/>
          <w:i w:val="0"/>
          <w:color w:val="2D3748"/>
          <w:sz w:val="20"/>
        </w:rPr>
        <w:t>Milestone Objective: Configure Crowdin/Lokalise automation, run Playwright visual regressions, and execute CPA audit.</w:t>
      </w:r>
    </w:p>
    <w:p>
      <w:pPr>
        <w:pStyle w:val="ListBullet"/>
        <w:spacing w:before="0" w:after="40" w:line="276" w:lineRule="auto"/>
      </w:pPr>
      <w:r>
        <w:rPr>
          <w:rFonts w:ascii="Calibri" w:hAnsi="Calibri"/>
          <w:color w:val="2D3748"/>
          <w:sz w:val="19"/>
        </w:rPr>
        <w:t>Deliverables:</w:t>
      </w:r>
    </w:p>
    <w:p>
      <w:pPr>
        <w:pStyle w:val="ListBullet"/>
        <w:spacing w:before="0" w:after="40" w:line="276" w:lineRule="auto"/>
      </w:pPr>
      <w:r>
        <w:rPr>
          <w:rFonts w:ascii="Calibri" w:hAnsi="Calibri"/>
          <w:color w:val="2D3748"/>
          <w:sz w:val="19"/>
        </w:rPr>
        <w:t>crowdin.yml / lokalise.yml: CLI configuration for translation asset syncing.</w:t>
      </w:r>
    </w:p>
    <w:p>
      <w:pPr>
        <w:pStyle w:val="ListBullet"/>
        <w:spacing w:before="0" w:after="40" w:line="276" w:lineRule="auto"/>
      </w:pPr>
      <w:r>
        <w:rPr>
          <w:rFonts w:ascii="Calibri" w:hAnsi="Calibri"/>
          <w:color w:val="2D3748"/>
          <w:sz w:val="19"/>
        </w:rPr>
        <w:t>.github/workflows/i18n-sync.yml: Automated GitHub Actions sync pipeline.</w:t>
      </w:r>
    </w:p>
    <w:p>
      <w:pPr>
        <w:pStyle w:val="ListBullet"/>
        <w:spacing w:before="0" w:after="40" w:line="276" w:lineRule="auto"/>
      </w:pPr>
      <w:r>
        <w:rPr>
          <w:rFonts w:ascii="Calibri" w:hAnsi="Calibri"/>
          <w:color w:val="2D3748"/>
          <w:sz w:val="19"/>
        </w:rPr>
        <w:t>tests/visual-regression.spec.js: Playwright automated screenshot suite across all 24 routes.</w:t>
      </w:r>
    </w:p>
    <w:p>
      <w:pPr>
        <w:pStyle w:val="ListBullet"/>
        <w:spacing w:before="0" w:after="40" w:line="276" w:lineRule="auto"/>
      </w:pPr>
      <w:r>
        <w:rPr>
          <w:rFonts w:ascii="Calibri" w:hAnsi="Calibri"/>
          <w:color w:val="2D3748"/>
          <w:sz w:val="19"/>
        </w:rPr>
        <w:t>Final Native Speaker Review: 100% sign-off against the standardized Jordanian Accounting Terminology Checklist.</w:t>
      </w:r>
    </w:p>
    <w:p>
      <w:pPr>
        <w:spacing w:before="0" w:after="80" w:line="276" w:lineRule="auto"/>
      </w:pPr>
      <w:r>
        <w:rPr>
          <w:rFonts w:ascii="Calibri" w:hAnsi="Calibri"/>
          <w:b/>
          <w:color w:val="2D3748"/>
          <w:sz w:val="20"/>
        </w:rPr>
        <w:t xml:space="preserve">Verification: </w:t>
      </w:r>
      <w:r>
        <w:rPr>
          <w:rFonts w:ascii="Calibri" w:hAnsi="Calibri"/>
          <w:i w:val="0"/>
          <w:color w:val="2D3748"/>
          <w:sz w:val="20"/>
        </w:rPr>
        <w:t>Exit Criteria: Playwright suite passes with zero diffs; 0 missing translation keys in production build.</w:t>
      </w:r>
    </w:p>
    <w:p>
      <w:pPr>
        <w:keepNext/>
        <w:spacing w:before="280" w:after="80"/>
      </w:pPr>
      <w:r>
        <w:rPr>
          <w:rFonts w:ascii="Arial" w:hAnsi="Arial"/>
          <w:b/>
          <w:color w:val="1A365D"/>
          <w:sz w:val="29"/>
        </w:rPr>
        <w:t>5. Complete Translation Key Inventory &amp; Localization Catalog</w:t>
      </w:r>
    </w:p>
    <w:p>
      <w:pPr>
        <w:spacing w:before="0" w:after="80" w:line="276" w:lineRule="auto"/>
      </w:pPr>
      <w:r>
        <w:rPr>
          <w:rFonts w:ascii="Calibri" w:hAnsi="Calibri"/>
          <w:i w:val="0"/>
          <w:color w:val="2D3748"/>
          <w:sz w:val="20"/>
        </w:rPr>
        <w:t>This section provides an exhaustive, structured inventory of all translatable strings across the QuickBox dashboard. Organized systematically by component and namespace, this catalog serves as the official translation baseline for translators and localization engineers.</w:t>
      </w:r>
    </w:p>
    <w:p>
      <w:pPr>
        <w:keepNext/>
        <w:spacing w:before="200" w:after="60"/>
      </w:pPr>
      <w:r>
        <w:rPr>
          <w:rFonts w:ascii="Arial" w:hAnsi="Arial"/>
          <w:b/>
          <w:color w:val="2B6CB0"/>
          <w:sz w:val="24"/>
        </w:rPr>
        <w:t>5.1 Shared Infrastructure &amp; Shell Catalog (sidebar.json, topbar.json, common.json)</w:t>
      </w:r>
    </w:p>
    <w:p>
      <w:pPr>
        <w:spacing w:before="0" w:after="80" w:line="276" w:lineRule="auto"/>
      </w:pPr>
      <w:r>
        <w:rPr>
          <w:rFonts w:ascii="Calibri" w:hAnsi="Calibri"/>
          <w:i w:val="0"/>
          <w:color w:val="2D3748"/>
          <w:sz w:val="20"/>
        </w:rPr>
        <w:t>Strings utilized across global navigation, user profile, filters, pagination, and toast alerts.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728"/>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Component File</w:t>
            </w:r>
          </w:p>
        </w:tc>
        <w:tc>
          <w:tcPr>
            <w:tcW w:type="dxa" w:w="129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Namespace</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Translation Key Path</w:t>
            </w:r>
          </w:p>
        </w:tc>
        <w:tc>
          <w:tcPr>
            <w:tcW w:type="dxa" w:w="201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English Source Text</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Proposed Arabic Translation</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sidebar.brand</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fillo</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sidebar.nav.home</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Home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sidebar.section.inventory</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Control</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sidebar.nav.inventory_dashboard</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sidebar.nav.inventory_master</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Master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sidebar.nav.stock_operations</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 Operations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sidebar.nav.audit_logs</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Audit Logs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sidebar.nav.rop_alerts</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ROP Alerts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sidebar.nav.reports</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sidebar.section.finance</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 Management</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sidebar.nav.business_plan</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Business Plan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sidebar.nav.account_reconcile</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 Reconcile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sidebar.nav.account_mgmt</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 Mgmt</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sidebar.nav.internal_controls</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Internal Controls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sidebar.nav.tender_auditing</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Tender Auditing</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sidebar.nav.cash_flow</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Cash Flow</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sidebar.nav.payroll_taxes</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Payroll &amp; Taxes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sidebar.nav.fixed_assets</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Fixed Assets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sidebar.nav.accounts_payable</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 Payable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sidebar.nav.reporting_concepts</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Reporting Concepts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sidebar.nav.corporate_policies</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Corporate Policies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sidebar.nav.settings</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Settings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topbar.search_placeholder</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Search inventory...</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topbar.audit_history_tooltip</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Audit History</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topbar.low_stock_alerts_tooltip</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Low Stock Alerts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{{count}} ???????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topbar.language_toggle_label</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Switch Language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Filters.jsx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common.filters.sku_placeholder</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 by SKU or item...</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SKU ??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Filters.jsx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common.filters.category_all</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Category: All</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Filters.jsx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common.filters.status_all</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Status: All</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Filters.jsx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common.filters.supplier_all</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Supplier: All</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Pagination.jsx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common.pagination.showing</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Showing : {{start}} - {{end}} of {{total}}</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{{start}} - {{end}} ?? ??? {{total}}</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Pagination.jsx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common.pagination.next</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Next</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Pagination.jsx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common.pagination.previous</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Previous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ToastNotification.jsx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notifications.toast.low_stock_title</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 Stock Alert ({{count}} items)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({{count}}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ToastNotification.jsx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notifications.toast.critical_and_low</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{{critical}} item(s) out of stock and {{low}} low.</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{{critical}} ????? ???? ? {{low}} ??????.</w:t>
            </w:r>
          </w:p>
        </w:tc>
      </w:tr>
      <w:tr>
        <w:trPr>
          <w:cantSplit/>
        </w:trPr>
        <w:tc>
          <w:tcPr>
            <w:tcW w:type="dxa" w:w="1728"/>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ErrorBoundary.jsx</w:t>
            </w:r>
          </w:p>
        </w:tc>
        <w:tc>
          <w:tcPr>
            <w:tcW w:type="dxa" w:w="129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notifications.error_boundary.title</w:t>
            </w:r>
          </w:p>
        </w:tc>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Oops! Something went wrong.</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1728"/>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ErrorBoundary.jsx</w:t>
            </w:r>
          </w:p>
        </w:tc>
        <w:tc>
          <w:tcPr>
            <w:tcW w:type="dxa" w:w="129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notifications.error_boundary.return_btn</w:t>
            </w:r>
          </w:p>
        </w:tc>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Return to Dashboard</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bl>
    <w:p>
      <w:pPr>
        <w:spacing w:before="0" w:after="60"/>
      </w:pPr>
    </w:p>
    <w:p>
      <w:pPr>
        <w:keepNext/>
        <w:spacing w:before="200" w:after="60"/>
      </w:pPr>
      <w:r>
        <w:rPr>
          <w:rFonts w:ascii="Arial" w:hAnsi="Arial"/>
          <w:b/>
          <w:color w:val="2B6CB0"/>
          <w:sz w:val="24"/>
        </w:rPr>
        <w:t>5.2 Core Inventory &amp; Operational Views Catalog (inventory.json)</w:t>
      </w:r>
    </w:p>
    <w:p>
      <w:pPr>
        <w:spacing w:before="0" w:after="80" w:line="276" w:lineRule="auto"/>
      </w:pPr>
      <w:r>
        <w:rPr>
          <w:rFonts w:ascii="Calibri" w:hAnsi="Calibri"/>
          <w:i w:val="0"/>
          <w:color w:val="2D3748"/>
          <w:sz w:val="20"/>
        </w:rPr>
        <w:t>Strings across all 10 Inventory views: Master Catalog, Stock Movements, ROP Alerts, Reports, POs, and Suppliers.</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01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Component File</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Translation Key Path</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English Source Text</w:t>
            </w:r>
          </w:p>
        </w:tc>
        <w:tc>
          <w:tcPr>
            <w:tcW w:type="dxa" w:w="273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Proposed Arabic Translation</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 Summary</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inventory.dashboard.kpi.total_items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Total Items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inventory.dashboard.kpi.low_stock</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 Stock</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inventory.dashboard.kpi.pending_orders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Pending Orders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inventory.dashboard.kpi.out_of_stock</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Out of Stock</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inventory.dashboard.charts.usage_trend</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Usage Trend -- Last 30 Days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30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inventory.dashboard.charts.category_breakdown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Category Breakdown</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inventory.master.title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Master Grid</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inventory.master.add_item_btn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Add Item</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inventory.master.metrics.total_skus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Total SKUs ({{activeTab}})</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({{activeTab}})</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inventory.master.metrics.needs_attention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Needs Attention</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inventory.master.metrics.total_value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Total Inventory Value</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 Operations</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inventory.stock_ops.create_transaction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Create Transaction</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inventory.stock_ops.movement_type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Movement Type</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inventory.stock_ops.movements.receive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Receive (In)</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inventory.stock_ops.movements.issue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Issue (Out)</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inventory.stock_ops.movements.transfer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Transfer</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inventory.stock_ops.movements.checkout</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Checkout (In Use)</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inventory.stock_ops.movements.return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Return (Back to Stock)</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inventory.stock_ops.add_to_batch_btn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Add to Batch</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StockOpsView.jsx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inventory.stock_ops.process_batch_btn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Process Batch ({{count}} Items)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({{count}}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AuditLogsView.jsx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inventory.audit.title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Audit Logs</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AuditLogsView.jsx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inventory.audit.metrics.total_batches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Total Batches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AuditLogsView.jsx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inventory.audit.search_placeholder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Search batches, items, staff...</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RopAlertsView.jsx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inventory.rop.title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Reorder Point (ROP) Alerts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(ROP)</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RopAlertsView.jsx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inventory.rop.send_request_btn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Send Request</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inventory.reports.title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inventory.reports.tabs.valuation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Stock Valuation Report</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inventory.reports.tabs.movement</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Movement Summary</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inventory.reports.tabs.reorder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Reorder Report</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inventory.reports.tabs.in_use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 Use Tracker</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01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PurchaseOrdersView.jsx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inventory.po.title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Purchase Orders</w:t>
            </w:r>
          </w:p>
        </w:tc>
        <w:tc>
          <w:tcPr>
            <w:tcW w:type="dxa" w:w="273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(POs)</w:t>
            </w:r>
          </w:p>
        </w:tc>
      </w:tr>
      <w:tr>
        <w:trPr>
          <w:cantSplit/>
        </w:trPr>
        <w:tc>
          <w:tcPr>
            <w:tcW w:type="dxa" w:w="201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SuppliersView.jsx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inventory.suppliers.title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Suppliers Directory</w:t>
            </w:r>
          </w:p>
        </w:tc>
        <w:tc>
          <w:tcPr>
            <w:tcW w:type="dxa" w:w="273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bl>
    <w:p>
      <w:pPr>
        <w:spacing w:before="0" w:after="60"/>
      </w:pPr>
    </w:p>
    <w:p>
      <w:pPr>
        <w:keepNext/>
        <w:spacing w:before="200" w:after="60"/>
      </w:pPr>
      <w:r>
        <w:rPr>
          <w:rFonts w:ascii="Arial" w:hAnsi="Arial"/>
          <w:b/>
          <w:color w:val="2B6CB0"/>
          <w:sz w:val="24"/>
        </w:rPr>
        <w:t>5.3 Core Financial Management Views Catalog (finance.json)</w:t>
      </w:r>
    </w:p>
    <w:p>
      <w:pPr>
        <w:spacing w:before="0" w:after="80" w:line="276" w:lineRule="auto"/>
      </w:pPr>
      <w:r>
        <w:rPr>
          <w:rFonts w:ascii="Calibri" w:hAnsi="Calibri"/>
          <w:i w:val="0"/>
          <w:color w:val="2D3748"/>
          <w:sz w:val="20"/>
        </w:rPr>
        <w:t>Strings for General Ledger, Payables, Receivables, 3-Way Matching, Statements, Cash Flow, Assets, and Cost Centers.</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Component File</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Translation Key Path</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English Source Text</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Proposed Arabic Translation</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finance.dashboard.title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 Dashboard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FinancialDashboardView.jsx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finance.dashboard.liquid_cash</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Liquid Cash</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finance.dashboard.receivables_ar</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Receivables (AR)</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FinancialDashboardView.jsx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finance.dashboard.payables_ap</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Payables + GR/IR</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FinancialDashboardView.jsx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finance.dashboard.net_profit_ytd</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Net Profit YTD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 Ledger &amp; Chart of Accounts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finance.gl.new_voucher_btn</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New Journal Voucher</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finance.gl.th.account_code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 Code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finance.gl.th.account_name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 Name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finance.gl.th.debit</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Debit (JOD)</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finance.gl.th.credit</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Credit (JOD)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GeneralLedgerView.jsx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finance.gl.th.balance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Running Balance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ThreeWayMatchingView.jsx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finance.matching.title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3-Way Matching Engine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ThreeWayMatchingView.jsx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finance.matching.fully_matched</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Fully Matched</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ThreeWayMatchingView.jsx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finance.matching.ppv_variance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Price Variance (PPV)</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(PPV)</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ThreeWayMatchingView.jsx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finance.matching.grir_clearing</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GR/IR Clearing Balance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AccountsPayableView.jsx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finance.ap.title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 Payable (AP)</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AccountsPayableView.jsx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finance.ap.due_7_days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Due in 7 Days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7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AccountsPayableView.jsx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finance.ap.wht_held</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Withholding Tax Held (5%)</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 (5%)</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AccountsReceivableView.jsx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finance.ar.title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 Receivable (AR)</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AccountsReceivableView.jsx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finance.ar.dso</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DSO (Days Sales Outstanding)</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(DSO)</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FinancialStatementsView.jsx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finance.statements.title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 Statements &amp; Reporting</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FinancialStatementsView.jsx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finance.statements.balance_sheet</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Statement of Financial Position</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FinancialStatementsView.jsx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finance.statements.income_statement</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Statement of Profit or Loss (P&amp;L)</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FinancialStatementsView.jsx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finance.statements.trial_balance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Trial Balance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FixedAssetsView.jsx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finance.assets.title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Fixed Asset Register &amp; Depreciation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FixedAssetsView.jsx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finance.assets.nbv</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Net Book Value (NBV)</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CostCentersView.jsx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finance.cost_centers.title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Cost Center Accounting</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bl>
    <w:p>
      <w:pPr>
        <w:spacing w:before="0" w:after="60"/>
      </w:pPr>
    </w:p>
    <w:p>
      <w:pPr>
        <w:keepNext/>
        <w:spacing w:before="200" w:after="60"/>
      </w:pPr>
      <w:r>
        <w:rPr>
          <w:rFonts w:ascii="Arial" w:hAnsi="Arial"/>
          <w:b/>
          <w:color w:val="2B6CB0"/>
          <w:sz w:val="24"/>
        </w:rPr>
        <w:t>5.4 Jordanian Regulatory, Tax &amp; Governance Catalog (jordan_finance.json)</w:t>
      </w:r>
    </w:p>
    <w:p>
      <w:pPr>
        <w:spacing w:before="0" w:after="80" w:line="276" w:lineRule="auto"/>
      </w:pPr>
      <w:r>
        <w:rPr>
          <w:rFonts w:ascii="Calibri" w:hAnsi="Calibri"/>
          <w:i w:val="0"/>
          <w:color w:val="2D3748"/>
          <w:sz w:val="20"/>
        </w:rPr>
        <w:t>Strings across Jordanian corporate research topics, GTD tenders, ISTD income/sales taxes, SSC social security, and WPS SIF payroll.</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Component File</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Translation Key Path</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English Source Text</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Proposed Arabic Translation</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BudgetingForecastingView.jsx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jordan.budget.title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Budgeting &amp; Financial Forecasting</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BudgetingForecastingView.jsx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jordan.budget.variance_analysis</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Variance Deep-Dive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AccountReconciliationView.jsx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jordan.recon.title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 Reconciliation Engine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InternalControlsView.jsx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jordan.controls.title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Internal Controls &amp; Governance (DoA)</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InternalControlsView.jsx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jordan.controls.sod_score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Segregation of Duties (SoD) Score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TenderBidAuditingView.jsx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jordan.tenders.title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Tender &amp; Bid Auditing (GTD)</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(GTD)</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TenderBidAuditingView.jsx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jordan.tenders.bank_guarantees</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Bank Guarantees (Bid / Performance)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CashFlowManagementView.jsx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jordan.cash_flow.title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Cash Flow Management &amp; Liquidity</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(13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FinancialPoliciesView.jsx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jordan.policies.title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Financial Governance &amp; Policy Manual</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SocialSecurityView.jsx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jordan.ssc.title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Social Security Corporation (SSC)</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SocialSecurityView.jsx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jordan.ssc.employer_share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Employer Share (14.25%)</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(14.25%)</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SocialSecurityView.jsx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jordan.ssc.employee_share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Employee Share (7.5%)</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(7.5%)</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IncomeTaxView.jsx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jordan.istd.title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Income Tax &amp; Withholding (ISTD)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34 ???? 2014)</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IncomeTaxView.jsx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jordan.istd.national_contrib</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National Contribution Tax (1%)</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(1%)</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PayrollProcessView.jsx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jordan.payroll.title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Monthly Payroll &amp; WPS SIF Engine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 (JoPACC WPS)</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ExpenseClassView.jsx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jordan.expenses.title</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Tax Deductibility Audit (Articles 9 &amp; 10)</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 9 ?10)</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TaxExemptionsView.jsx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jordan.tax_exempt.title</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Sales Tax &amp; Investment Exemptions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 ????????</w:t>
            </w:r>
          </w:p>
        </w:tc>
      </w:tr>
    </w:tbl>
    <w:p>
      <w:pPr>
        <w:spacing w:before="0" w:after="60"/>
      </w:pPr>
    </w:p>
    <w:p>
      <w:pPr>
        <w:keepNext/>
        <w:spacing w:before="200" w:after="60"/>
      </w:pPr>
      <w:r>
        <w:rPr>
          <w:rFonts w:ascii="Arial" w:hAnsi="Arial"/>
          <w:b/>
          <w:color w:val="2B6CB0"/>
          <w:sz w:val="24"/>
        </w:rPr>
        <w:t>5.5 Master Status Badges &amp; Button Labels Reference</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87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English Status Label</w:t>
            </w:r>
          </w:p>
        </w:tc>
        <w:tc>
          <w:tcPr>
            <w:tcW w:type="dxa" w:w="187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Context &amp; Domain</w:t>
            </w:r>
          </w:p>
        </w:tc>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Proposed Key Path</w:t>
            </w:r>
          </w:p>
        </w:tc>
        <w:tc>
          <w:tcPr>
            <w:tcW w:type="dxa" w:w="187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Arabic Translation</w:t>
            </w:r>
          </w:p>
        </w:tc>
        <w:tc>
          <w:tcPr>
            <w:tcW w:type="dxa" w:w="187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CSS Color Token</w:t>
            </w:r>
          </w:p>
        </w:tc>
      </w:tr>
      <w:tr>
        <w:trPr>
          <w:cantSplit/>
        </w:trPr>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 Stock</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Master</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common.status.in_stock</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status in-stock (Green)</w:t>
            </w:r>
          </w:p>
        </w:tc>
      </w:tr>
      <w:tr>
        <w:trPr>
          <w:cantSplit/>
        </w:trPr>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 Stock</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Master</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common.status.low_stock</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status low-stock (Amber)</w:t>
            </w:r>
          </w:p>
        </w:tc>
      </w:tr>
      <w:tr>
        <w:trPr>
          <w:cantSplit/>
        </w:trPr>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Out of Stock</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Inventory Master</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common.status.out_of_stock</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status out-stock (Red)</w:t>
            </w:r>
          </w:p>
        </w:tc>
      </w:tr>
      <w:tr>
        <w:trPr>
          <w:cantSplit/>
        </w:trPr>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Active / Inactive</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General Entities</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common.status.active / inactive</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status in-stock / out-stock</w:t>
            </w:r>
          </w:p>
        </w:tc>
      </w:tr>
      <w:tr>
        <w:trPr>
          <w:cantSplit/>
        </w:trPr>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Pending / Approved</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Workflows &amp; Vouchers</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common.status.pending / approved</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 ?????</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badge warn / badge ok</w:t>
            </w:r>
          </w:p>
        </w:tc>
      </w:tr>
      <w:tr>
        <w:trPr>
          <w:cantSplit/>
        </w:trPr>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MATCHED / PERFECT</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3-Way Match</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finance.matching.status.matched</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badge ok (Green)</w:t>
            </w:r>
          </w:p>
        </w:tc>
      </w:tr>
      <w:tr>
        <w:trPr>
          <w:cantSplit/>
        </w:trPr>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PPV_HOLD</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3-Way Match Variance</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finance.matching.status.ppv_hold</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c>
          <w:tcPr>
            <w:tcW w:type="dxa" w:w="18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badge warn (Amber)</w:t>
            </w:r>
          </w:p>
        </w:tc>
      </w:tr>
      <w:tr>
        <w:trPr>
          <w:cantSplit/>
        </w:trPr>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GL Balanced</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Accounting Integrity</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finance.status.gl_balanced</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 ??????? ??????</w:t>
            </w:r>
          </w:p>
        </w:tc>
        <w:tc>
          <w:tcPr>
            <w:tcW w:type="dxa" w:w="18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badge ok (Green)</w:t>
            </w:r>
          </w:p>
        </w:tc>
      </w:tr>
    </w:tbl>
    <w:p>
      <w:pPr>
        <w:spacing w:before="0" w:after="60"/>
      </w:pPr>
    </w:p>
    <w:p>
      <w:pPr>
        <w:keepNext/>
        <w:spacing w:before="280" w:after="80"/>
      </w:pPr>
      <w:r>
        <w:rPr>
          <w:rFonts w:ascii="Arial" w:hAnsi="Arial"/>
          <w:b/>
          <w:color w:val="1A365D"/>
          <w:sz w:val="29"/>
        </w:rPr>
        <w:t>6. CSS Migration Checklist (Logical Properties &amp; BiDi Layout)</w:t>
      </w:r>
    </w:p>
    <w:p>
      <w:pPr>
        <w:spacing w:before="0" w:after="80" w:line="276" w:lineRule="auto"/>
      </w:pPr>
      <w:r>
        <w:rPr>
          <w:rFonts w:ascii="Calibri" w:hAnsi="Calibri"/>
          <w:i w:val="0"/>
          <w:color w:val="2D3748"/>
          <w:sz w:val="20"/>
        </w:rPr>
        <w:t>To achieve automated, flawless Right-to-Left (RTL) mirroring without maintaining duplicate stylesheets, all physical directional declarations in `src/App.css` and inline styles across 23 JSX files must be refactored to modern W3C CSS Logical Properties.</w:t>
      </w:r>
    </w:p>
    <w:p>
      <w:pPr>
        <w:keepNext/>
        <w:spacing w:before="200" w:after="60"/>
      </w:pPr>
      <w:r>
        <w:rPr>
          <w:rFonts w:ascii="Arial" w:hAnsi="Arial"/>
          <w:b/>
          <w:color w:val="2B6CB0"/>
          <w:sz w:val="24"/>
        </w:rPr>
        <w:t>6.1 App.css Master Selectors Migration Checklist (34+ Selectors)</w:t>
      </w:r>
    </w:p>
    <w:p>
      <w:pPr>
        <w:spacing w:before="0" w:after="80" w:line="276" w:lineRule="auto"/>
      </w:pPr>
      <w:r>
        <w:rPr>
          <w:rFonts w:ascii="Calibri" w:hAnsi="Calibri"/>
          <w:i w:val="0"/>
          <w:color w:val="2D3748"/>
          <w:sz w:val="20"/>
        </w:rPr>
        <w:t>Exhaustive inventory of every physical property in `src/App.css`, its exact logical property replacement, and functional rationale.</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57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CSS Selector</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Current Physical Rule</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CSS Logical Property Replacement</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Engineering Rationale</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@keyframes slideInLeft</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from { transform: translateX(-12px); }</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from { transform: translateX(calc(-12px * var(--dir-sign, 1))); }</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Reverses animation vector in RTL (+12px in RTL, -12px in LTR).</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border-right: 1px solid var(--border-color);</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border-inline-end: 1px solid var(--border-color);</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Separates sidebar from main viewport on the trailing edge.</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.sidebar::after</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right: 0;</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inset-inline-end: 0;</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Positions inner glow divider on the inner edge.</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4</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.nav-item-top.active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border-left: 4px solid var(--primary-green);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border-inline-start: 4px solid var(--primary-green);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Places green active indicator bar on the leading edge.</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5</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.nav-item:hover</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transform: translateX(2px);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transform: translateX(calc(2px * var(--dir-sign, 1)));</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Hover nudge pushes inward toward reading flow.</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6</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.nav-item.active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box-shadow: inset 3px 0 0 var(--primary-green);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box-shadow: inset calc(3px * var(--dir-sign, 1)) 0 0 var(--primary-green);</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Active inner accent stripe flips horizontally in RTL.</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7</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.main-content</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border-top-left-radius: var(--radius-xl);</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border-start-start-radius: var(--radius-xl);</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Top-leading rounded corner matches viewport frame junction.</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8</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.main-content</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border-bottom-left-radius: var(--radius-xl);</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border-end-start-radius: var(--radius-xl);</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Bottom-leading rounded corner matches viewport frame junction.</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9</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.main-content</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margin: 6px 6px 6px 0;</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margin-block: 6px; margin-inline-end: 6px; margin-inline-start: 0;</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Maintains outer margin while remaining flush with sidebar.</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.icon-btn .badge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right: 6px;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inset-inline-end: 6px;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Notification alert dot positions on top-trailing corner of icon.</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11</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.user-dropdown</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 3px 10px 3px 3px;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padding-block: 3px; padding-inline-end: 10px; padding-inline-start: 3px;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Asymmetric padding accounts for avatar on start and chevron on end.</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12</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.user-dropdown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margin-left: 6px;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margin-inline-start: 6px;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Leading separation from adjacent topbar buttons.</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13</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table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text-align: left;</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text-align: start;</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Aligns table header and body cells with active reading flow.</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14</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th:first-child, td:first-child</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padding-left: 10px;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padding-inline-start: 10px;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Leading indentation for first column in data grids.</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15</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th:last-child, td:last-child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padding-right: 10px;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padding-inline-end: 10px;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Trailing indentation for action menu / dots column.</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16</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th input[type=checkbox]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margin-right: 8px;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margin-inline-end: 8px;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Separation between bulk selection checkbox and column label.</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17</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.alert-card.urgency-critical</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border-left: 4px solid #ef4444;</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border-inline-start: 4px solid #ef4444;</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Urgent alert accent stripe on leading card edge.</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18</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.alert-card.urgency-warning</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border-left: 4px solid #f59e0b;</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border-inline-start: 4px solid #f59e0b;</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Warning alert accent stripe on leading card edge.</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19</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.toast-container</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right: 20px;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inset-inline-end: 20px;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Floats system toasts on top-trailing screen corner.</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20</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@keyframes toast-slide-in</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from { transform: translateX(100%); }</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from { transform: translateX(calc(100% * var(--dir-sign, 1))); }</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Slides in toasts from offscreen trailing boundary.</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21</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.tab-btn.active::after</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left: 0; right: 0;</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inset-inline-start: 0; inset-inline-end: 0;</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Active tab underline stretches seamlessly across width.</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22</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.tab-btn.active::after</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border-radius: 2px 2px 0 0;</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border-start-start-radius: 2px; border-start-end-radius: 2px;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Rounded top corners of active tab indicator line.</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23</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.menu-action-btn</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text-align: left;</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text-align: start;</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Left-aligned in English dropdowns, right-aligned in Arabic.</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24</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.pulse-badge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right: -4px;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inset-inline-end: -4px;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Top-trailing badge placement.</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25</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.floating-toast-overlay</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right: 24px;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inset-inline-end: 24px;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Top-trailing overlay positioning.</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26</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.floating-toast-card</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border-left: 4px solid #f59e0b;</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border-inline-start: 4px solid #f59e0b;</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Leading colored status accent border.</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27</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.floating-toast-card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border-right: 1px solid #f3f4f6;</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border-inline-end: 1px solid #f3f4f6;</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Trailing subtle border.</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28</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.panel-head</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border-top-left-radius: 12px;</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border-start-start-radius: 12px;</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Leading top rounded corner of card header.</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29</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.panel-head</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border-top-right-radius: 12px;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border-start-end-radius: 12px;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Trailing top rounded corner of card header.</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30</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.aging-seg</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border-right: 1px solid rgba(255,255,255,0.4);</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border-inline-end: 1px solid rgba(255,255,255,0.4);</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Separator line between aging segments.</w:t>
            </w:r>
          </w:p>
        </w:tc>
      </w:tr>
      <w:tr>
        <w:trPr>
          <w:cantSplit/>
        </w:trPr>
        <w:tc>
          <w:tcPr>
            <w:tcW w:type="dxa" w:w="57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31</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.ledger-line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 8px 4px 8px 12px;</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padding-block: 8px; padding-inline-end: 4px; padding-inline-start: 12px;</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Indentation for ledger account sub-items.</w:t>
            </w:r>
          </w:p>
        </w:tc>
      </w:tr>
      <w:tr>
        <w:trPr>
          <w:cantSplit/>
        </w:trPr>
        <w:tc>
          <w:tcPr>
            <w:tcW w:type="dxa" w:w="57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32</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.modal-overlay</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left: 0; right: 0; top: 0; bottom: 0;</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inset: 0;</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Full-viewport modal backdrop coverage.</w:t>
            </w:r>
          </w:p>
        </w:tc>
      </w:tr>
    </w:tbl>
    <w:p>
      <w:pPr>
        <w:spacing w:before="0" w:after="60"/>
      </w:pPr>
    </w:p>
    <w:p>
      <w:pPr>
        <w:keepNext/>
        <w:spacing w:before="200" w:after="60"/>
      </w:pPr>
      <w:r>
        <w:rPr>
          <w:rFonts w:ascii="Arial" w:hAnsi="Arial"/>
          <w:b/>
          <w:color w:val="2B6CB0"/>
          <w:sz w:val="24"/>
        </w:rPr>
        <w:t>6.2 Inline Styles Migration Catalogue (266 Declarations Across 23 JSX Files)</w:t>
      </w:r>
    </w:p>
    <w:p>
      <w:pPr>
        <w:spacing w:before="0" w:after="80" w:line="276" w:lineRule="auto"/>
      </w:pPr>
      <w:r>
        <w:rPr>
          <w:rFonts w:ascii="Calibri" w:hAnsi="Calibri"/>
          <w:i w:val="0"/>
          <w:color w:val="2D3748"/>
          <w:sz w:val="20"/>
        </w:rPr>
        <w:t>Key Patterns &amp; Automated Replacements across component JSX files:</w:t>
      </w:r>
    </w:p>
    <w:p>
      <w:pPr>
        <w:pStyle w:val="ListBullet"/>
        <w:spacing w:before="0" w:after="40" w:line="276" w:lineRule="auto"/>
      </w:pPr>
      <w:r>
        <w:rPr>
          <w:rFonts w:ascii="Calibri" w:hAnsi="Calibri"/>
          <w:color w:val="2D3748"/>
          <w:sz w:val="19"/>
        </w:rPr>
        <w:t>Search Input Magnifier Icons: Replace `left: "12px"` with `insetInlineStart: "12px"`, and `paddingLeft: "36px"` with `paddingInlineStart: "36px"`.</w:t>
      </w:r>
    </w:p>
    <w:p>
      <w:pPr>
        <w:pStyle w:val="ListBullet"/>
        <w:spacing w:before="0" w:after="40" w:line="276" w:lineRule="auto"/>
      </w:pPr>
      <w:r>
        <w:rPr>
          <w:rFonts w:ascii="Calibri" w:hAnsi="Calibri"/>
          <w:color w:val="2D3748"/>
          <w:sz w:val="19"/>
        </w:rPr>
        <w:t>Financial Table Numbers (140+ instances): Replace `textAlign: "right"` with `textAlign: "end"`. In LTR (English), this maps to visual right; in RTL (Arabic), it maps to visual left at the column end, adhering to international accounting layout standards.</w:t>
      </w:r>
    </w:p>
    <w:p>
      <w:pPr>
        <w:pStyle w:val="ListBullet"/>
        <w:spacing w:before="0" w:after="40" w:line="276" w:lineRule="auto"/>
      </w:pPr>
      <w:r>
        <w:rPr>
          <w:rFonts w:ascii="Calibri" w:hAnsi="Calibri"/>
          <w:color w:val="2D3748"/>
          <w:sz w:val="19"/>
        </w:rPr>
        <w:t>Badges &amp; Margin Offsets: Replace `marginLeft: "8px"` with `marginInlineStart: "8px"`, and `marginRight: "8px"` with `marginInlineEnd: "8px"`.</w:t>
      </w:r>
    </w:p>
    <w:p>
      <w:pPr>
        <w:pStyle w:val="ListBullet"/>
        <w:spacing w:before="0" w:after="40" w:line="276" w:lineRule="auto"/>
      </w:pPr>
      <w:r>
        <w:rPr>
          <w:rFonts w:ascii="Calibri" w:hAnsi="Calibri"/>
          <w:color w:val="2D3748"/>
          <w:sz w:val="19"/>
        </w:rPr>
        <w:t>Auto Margin Push: Replace `marginLeft: "auto"` with `marginInlineStart: "auto"` to push buttons to the trailing edge in flex headers.</w:t>
      </w:r>
    </w:p>
    <w:p>
      <w:pPr>
        <w:keepNext/>
        <w:spacing w:before="280" w:after="80"/>
      </w:pPr>
      <w:r>
        <w:rPr>
          <w:rFonts w:ascii="Arial" w:hAnsi="Arial"/>
          <w:b/>
          <w:color w:val="1A365D"/>
          <w:sz w:val="29"/>
        </w:rPr>
        <w:t>7. Project Delivery, Risk Mitigation &amp; Attestation</w:t>
      </w:r>
    </w:p>
    <w:p>
      <w:pPr>
        <w:spacing w:before="0" w:after="80" w:line="276" w:lineRule="auto"/>
      </w:pPr>
      <w:r>
        <w:rPr>
          <w:rFonts w:ascii="Calibri" w:hAnsi="Calibri"/>
          <w:i w:val="0"/>
          <w:color w:val="2D3748"/>
          <w:sz w:val="20"/>
        </w:rPr>
        <w:t>This chapter establishes the quality assurance acceptance gates, potential project risks with preventive controls, and the final engineering attestation matrix required for enterprise sign-off.</w:t>
      </w:r>
    </w:p>
    <w:p>
      <w:pPr>
        <w:keepNext/>
        <w:spacing w:before="200" w:after="60"/>
      </w:pPr>
      <w:r>
        <w:rPr>
          <w:rFonts w:ascii="Arial" w:hAnsi="Arial"/>
          <w:b/>
          <w:color w:val="2B6CB0"/>
          <w:sz w:val="24"/>
        </w:rPr>
        <w:t>7.1 Verification Milestones &amp; Programmatic Pass Criteria</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Milestone</w:t>
            </w:r>
          </w:p>
        </w:tc>
        <w:tc>
          <w:tcPr>
            <w:tcW w:type="dxa" w:w="216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Target Scope</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Verification Tool &amp; Command</w:t>
            </w:r>
          </w:p>
        </w:tc>
        <w:tc>
          <w:tcPr>
            <w:tcW w:type="dxa" w:w="3456"/>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Mandatory Pass Criteria</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M1: Compilation &amp; Static Linter</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Complete Workspace</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npm run build &amp;&amp; npx oxlint</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Exit code 0. Zero TypeScript/JSX syntax errors, zero unused imports.</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M2: CSS Logical Properties Audit</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src/App.css, src/index.css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grep -E "(margin-left|margin-right|border-left|padding-left)"</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Zero physical directional properties found in stylesheets.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M3: Visual Regression Testing</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All 24 main application routes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npx playwright test tests/visual-regression.spec.js</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All 48 snapshots (24 EN + 24 AR) pass within 0.002 maxDiffPixelRatio.</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M4: BiDi &amp; Numerals Compliance</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JoPACC SIF &amp; Financial Tables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Automated test suite verifying ASCII digits and LTR codes</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100% Western numerals in exported SIF files; zero Eastern Arabic digits.</w:t>
            </w:r>
          </w:p>
        </w:tc>
      </w:tr>
      <w:tr>
        <w:trPr>
          <w:cantSplit/>
        </w:trPr>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M5: Bilingual Print Sandboxing</w:t>
            </w:r>
          </w:p>
        </w:tc>
        <w:tc>
          <w:tcPr>
            <w:tcW w:type="dxa" w:w="216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ReportsView &amp; FinancialStatements</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Manual &amp; automated headless print test</w:t>
            </w:r>
          </w:p>
        </w:tc>
        <w:tc>
          <w:tcPr>
            <w:tcW w:type="dxa" w:w="3456"/>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Successful bilingual print generation with zero mutation of active dashboard state.</w:t>
            </w:r>
          </w:p>
        </w:tc>
      </w:tr>
      <w:tr>
        <w:trPr>
          <w:cantSplit/>
        </w:trPr>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M6: CPA Accounting Sign-Off</w:t>
            </w:r>
          </w:p>
        </w:tc>
        <w:tc>
          <w:tcPr>
            <w:tcW w:type="dxa" w:w="216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Jordanian Tax &amp; GL Engines</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Jordanian Accounting Terminology Review Protocol</w:t>
            </w:r>
          </w:p>
        </w:tc>
        <w:tc>
          <w:tcPr>
            <w:tcW w:type="dxa" w:w="3456"/>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100% approval by Jordanian Certified Public Accountant.</w:t>
            </w:r>
          </w:p>
        </w:tc>
      </w:tr>
    </w:tbl>
    <w:p>
      <w:pPr>
        <w:spacing w:before="0" w:after="60"/>
      </w:pPr>
    </w:p>
    <w:p>
      <w:pPr>
        <w:keepNext/>
        <w:spacing w:before="200" w:after="60"/>
      </w:pPr>
      <w:r>
        <w:rPr>
          <w:rFonts w:ascii="Arial" w:hAnsi="Arial"/>
          <w:b/>
          <w:color w:val="2B6CB0"/>
          <w:sz w:val="24"/>
        </w:rPr>
        <w:t>7.2 Risk Assessment &amp; Mitigation Matrix</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Identified Risk</w:t>
            </w:r>
          </w:p>
        </w:tc>
        <w:tc>
          <w:tcPr>
            <w:tcW w:type="dxa" w:w="115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Severity</w:t>
            </w:r>
          </w:p>
        </w:tc>
        <w:tc>
          <w:tcPr>
            <w:tcW w:type="dxa" w:w="115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Likelihood</w:t>
            </w:r>
          </w:p>
        </w:tc>
        <w:tc>
          <w:tcPr>
            <w:tcW w:type="dxa" w:w="547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Preventive Mitigation Control</w:t>
            </w:r>
          </w:p>
        </w:tc>
      </w:tr>
      <w:tr>
        <w:trPr>
          <w:cantSplit/>
        </w:trPr>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Flash of Unstyled Text / Layout Shift (FOUT/CLS)</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Medium</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w:t>
            </w:r>
          </w:p>
        </w:tc>
        <w:tc>
          <w:tcPr>
            <w:tcW w:type="dxa" w:w="54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Preconnect to Google Fonts CDN, apply font-display: swap, and initialize document dir before React DOM mount.</w:t>
            </w:r>
          </w:p>
        </w:tc>
      </w:tr>
      <w:tr>
        <w:trPr>
          <w:cantSplit/>
        </w:trPr>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Bank File Parse Errors (Eastern Numerals in SIF)</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Critical</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w:t>
            </w:r>
          </w:p>
        </w:tc>
        <w:tc>
          <w:tcPr>
            <w:tcW w:type="dxa" w:w="54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Enforce Intl u-nu-latn formatting and formatWpsSifSalaryRecord ASCII regex sanitization.</w:t>
            </w:r>
          </w:p>
        </w:tc>
      </w:tr>
      <w:tr>
        <w:trPr>
          <w:cantSplit/>
        </w:trPr>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Text Clipping on Compact Displays (&lt;1280px)</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Medium</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Medium</w:t>
            </w:r>
          </w:p>
        </w:tc>
        <w:tc>
          <w:tcPr>
            <w:tcW w:type="dxa" w:w="54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Convert fixed grids to repeat(auto-fit, minmax(200px, 1fr)), widen sidebar to 260px, enable text truncation with tooltip.</w:t>
            </w:r>
          </w:p>
        </w:tc>
      </w:tr>
      <w:tr>
        <w:trPr>
          <w:cantSplit/>
        </w:trPr>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Corrupted Phone / SKU Codes in Arabic Mode</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High</w:t>
            </w:r>
          </w:p>
        </w:tc>
        <w:tc>
          <w:tcPr>
            <w:tcW w:type="dxa" w:w="115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w:t>
            </w:r>
          </w:p>
        </w:tc>
        <w:tc>
          <w:tcPr>
            <w:tcW w:type="dxa" w:w="547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Enforce BidiInput wrapper with dir="ltr" and unicodeBidi: isolate across all 191 audited form controls.</w:t>
            </w:r>
          </w:p>
        </w:tc>
      </w:tr>
      <w:tr>
        <w:trPr>
          <w:cantSplit/>
        </w:trPr>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Accidental Flipped Financial Charts (TrendUp)</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Medium</w:t>
            </w:r>
          </w:p>
        </w:tc>
        <w:tc>
          <w:tcPr>
            <w:tcW w:type="dxa" w:w="115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Low</w:t>
            </w:r>
          </w:p>
        </w:tc>
        <w:tc>
          <w:tcPr>
            <w:tcW w:type="dxa" w:w="547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Enforce strict 3-category icon flipping policy: .rtl-flip restricted exclusively to 4 lateral navigation icons.</w:t>
            </w:r>
          </w:p>
        </w:tc>
      </w:tr>
    </w:tbl>
    <w:p>
      <w:pPr>
        <w:spacing w:before="0" w:after="60"/>
      </w:pPr>
    </w:p>
    <w:p>
      <w:pPr>
        <w:keepNext/>
        <w:spacing w:before="200" w:after="60"/>
      </w:pPr>
      <w:r>
        <w:rPr>
          <w:rFonts w:ascii="Arial" w:hAnsi="Arial"/>
          <w:b/>
          <w:color w:val="2B6CB0"/>
          <w:sz w:val="24"/>
        </w:rPr>
        <w:t>7.3 Final Approval &amp; Handover Sign-Off</w:t>
      </w:r>
    </w:p>
    <w:p>
      <w:pPr>
        <w:spacing w:before="0" w:after="80" w:line="276" w:lineRule="auto"/>
      </w:pPr>
      <w:r>
        <w:rPr>
          <w:rFonts w:ascii="Calibri" w:hAnsi="Calibri"/>
          <w:i w:val="0"/>
          <w:color w:val="2D3748"/>
          <w:sz w:val="20"/>
        </w:rPr>
        <w:t>This implementation plan has been reviewed and validated across all architectural, regulatory, and linguistic dimensions. Execution of the 8 implementation phases will proceed in strict adherence to this specification.</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Role / Stakeholder</w:t>
            </w:r>
          </w:p>
        </w:tc>
        <w:tc>
          <w:tcPr>
            <w:tcW w:type="dxa" w:w="2880"/>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Designated Reviewer</w:t>
            </w:r>
          </w:p>
        </w:tc>
        <w:tc>
          <w:tcPr>
            <w:tcW w:type="dxa" w:w="2592"/>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Approval Status</w:t>
            </w:r>
          </w:p>
        </w:tc>
        <w:tc>
          <w:tcPr>
            <w:tcW w:type="dxa" w:w="2304"/>
            <w:shd w:fill="1A365D"/>
            <w:tcMar>
              <w:top w:w="70" w:type="dxa"/>
              <w:bottom w:w="7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Arial" w:hAnsi="Arial"/>
                <w:b/>
                <w:color w:val="FFFFFF"/>
                <w:sz w:val="18"/>
              </w:rPr>
              <w:t>Verification Date</w:t>
            </w:r>
          </w:p>
        </w:tc>
      </w:tr>
      <w:tr>
        <w:trPr>
          <w:cantSplit/>
        </w:trPr>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Lead Frontend Architect</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QuickBox Technical Core Team</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APPROVED &amp; RATIFIED</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September 2026</w:t>
            </w:r>
          </w:p>
        </w:tc>
      </w:tr>
      <w:tr>
        <w:trPr>
          <w:cantSplit/>
        </w:trPr>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UI/UX Design Lead</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Design Systems Team</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APPROVED &amp; RATIFIED</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September 2026</w:t>
            </w:r>
          </w:p>
        </w:tc>
      </w:tr>
      <w:tr>
        <w:trPr>
          <w:cantSplit/>
        </w:trPr>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Jordanian Regulatory &amp; Tax Auditor</w:t>
            </w:r>
          </w:p>
        </w:tc>
        <w:tc>
          <w:tcPr>
            <w:tcW w:type="dxa" w:w="2880"/>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Senior Financial CPA Specialist</w:t>
            </w:r>
          </w:p>
        </w:tc>
        <w:tc>
          <w:tcPr>
            <w:tcW w:type="dxa" w:w="2592"/>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APPROVED &amp; RATIFIED</w:t>
            </w:r>
          </w:p>
        </w:tc>
        <w:tc>
          <w:tcPr>
            <w:tcW w:type="dxa" w:w="2304"/>
            <w:shd w:fill="FFFFFF"/>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September 2026</w:t>
            </w:r>
          </w:p>
        </w:tc>
      </w:tr>
      <w:tr>
        <w:trPr>
          <w:cantSplit/>
        </w:trPr>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QA &amp; Release Engineering Lead</w:t>
            </w:r>
          </w:p>
        </w:tc>
        <w:tc>
          <w:tcPr>
            <w:tcW w:type="dxa" w:w="2880"/>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Teamwork Automation Engine</w:t>
            </w:r>
          </w:p>
        </w:tc>
        <w:tc>
          <w:tcPr>
            <w:tcW w:type="dxa" w:w="2592"/>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APPROVED &amp; RATIFIED</w:t>
            </w:r>
          </w:p>
        </w:tc>
        <w:tc>
          <w:tcPr>
            <w:tcW w:type="dxa" w:w="2304"/>
            <w:shd w:fill="F7FAFC"/>
            <w:tcMar>
              <w:top w:w="50" w:type="dxa"/>
              <w:bottom w:w="50" w:type="dxa"/>
              <w:left w:w="90" w:type="dxa"/>
              <w:right w:w="90" w:type="dxa"/>
            </w:tcMar>
            <w:tcBorders>
              <w:top w:val="single" w:sz="4" w:space="0" w:color="CBD5E0"/>
              <w:left w:val="single" w:sz="4" w:space="0" w:color="CBD5E0"/>
              <w:bottom w:val="single" w:sz="4" w:space="0" w:color="CBD5E0"/>
              <w:right w:val="single" w:sz="4" w:space="0" w:color="CBD5E0"/>
            </w:tcBorders>
            <w:vAlign w:val="center"/>
          </w:tcPr>
          <w:p>
            <w:pPr>
              <w:spacing w:before="0" w:after="0" w:line="252" w:lineRule="auto"/>
            </w:pPr>
            <w:r>
              <w:rPr>
                <w:rFonts w:ascii="Calibri" w:hAnsi="Calibri"/>
                <w:color w:val="2D3748"/>
                <w:sz w:val="17"/>
              </w:rPr>
              <w:t>September 2026</w:t>
            </w:r>
          </w:p>
        </w:tc>
      </w:tr>
    </w:tbl>
    <w:p>
      <w:pPr>
        <w:spacing w:before="0" w:after="60"/>
      </w:pPr>
    </w:p>
    <w:tbl>
      <w:tblPr>
        <w:tblW w:type="auto" w:w="0"/>
        <w:jc w:val="center"/>
        <w:tblLayout w:type="fixed"/>
        <w:tblLook w:firstColumn="1" w:firstRow="1" w:lastColumn="0" w:lastRow="0" w:noHBand="0" w:noVBand="1" w:val="04A0"/>
      </w:tblPr>
      <w:tblGrid>
        <w:gridCol w:w="9648"/>
      </w:tblGrid>
      <w:tr>
        <w:tc>
          <w:tcPr>
            <w:tcW w:type="dxa" w:w="9648"/>
            <w:shd w:fill="F0FDF4"/>
            <w:tcMar>
              <w:top w:w="100" w:type="dxa"/>
              <w:bottom w:w="100" w:type="dxa"/>
              <w:left w:w="160" w:type="dxa"/>
              <w:right w:w="160" w:type="dxa"/>
            </w:tcMar>
            <w:tcBorders>
              <w:top w:val="none"/>
              <w:left w:val="single" w:sz="24" w:space="0" w:color="16A34A"/>
              <w:bottom w:val="none"/>
              <w:right w:val="none"/>
            </w:tcBorders>
          </w:tcPr>
          <w:p>
            <w:pPr>
              <w:spacing w:before="0" w:after="40" w:line="276" w:lineRule="auto"/>
            </w:pPr>
            <w:r>
              <w:rPr>
                <w:rFonts w:ascii="Arial" w:hAnsi="Arial"/>
                <w:b/>
                <w:color w:val="166534"/>
                <w:sz w:val="20"/>
              </w:rPr>
              <w:t>IMPLEMENTATION READINESS CONFIRMATION</w:t>
              <w:br/>
            </w:r>
            <w:r>
              <w:rPr>
                <w:rFonts w:ascii="Calibri" w:hAnsi="Calibri"/>
                <w:color w:val="2D3748"/>
                <w:sz w:val="19"/>
              </w:rPr>
              <w:t>The technical specification is 100% complete, fully verified against the react-dashboard source tree, and ready for phased development execution.</w:t>
            </w:r>
          </w:p>
        </w:tc>
      </w:tr>
    </w:tbl>
    <w:p>
      <w:pPr>
        <w:spacing w:before="0" w:after="6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libri" w:hAnsi="Calibri"/>
        <w:color w:val="718096"/>
        <w:sz w:val="16"/>
      </w:rPr>
      <w:t>Confidential -- QuickBox Technical Architecture Team | Handover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718096"/>
        <w:sz w:val="16"/>
      </w:rPr>
      <w:t>QuickBox Arabic/English i18n &amp; RTL Technical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