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E293B"/>
          <w:sz w:val="44"/>
        </w:rPr>
        <w:t>Customer Churn Analysis — Final Project</w:t>
      </w:r>
    </w:p>
    <w:p>
      <w:pPr>
        <w:spacing w:before="0" w:after="280"/>
      </w:pPr>
      <w:r>
        <w:rPr>
          <w:rFonts w:ascii="Calibri" w:hAnsi="Calibri"/>
          <w:color w:val="0F766E"/>
          <w:sz w:val="24"/>
        </w:rPr>
        <w:t>Practical Business Recommendations &amp; Action Plan (Presentation Slides Guide)</w:t>
      </w:r>
    </w:p>
    <w:tbl>
      <w:tblPr>
        <w:tblW w:type="auto" w:w="0"/>
        <w:jc w:val="center"/>
        <w:tblLayout w:type="fixed"/>
        <w:tblLook w:firstColumn="1" w:firstRow="1" w:lastColumn="0" w:lastRow="0" w:noHBand="0" w:noVBand="1" w:val="04A0"/>
      </w:tblPr>
      <w:tblGrid>
        <w:gridCol w:w="9936"/>
      </w:tblGrid>
      <w:tr>
        <w:tc>
          <w:tcPr>
            <w:tcW w:type="dxa" w:w="9936"/>
            <w:shd w:fill="F8FAFC"/>
            <w:tcMar>
              <w:top w:w="140" w:type="dxa"/>
              <w:bottom w:w="140" w:type="dxa"/>
              <w:left w:w="180" w:type="dxa"/>
              <w:right w:w="180" w:type="dxa"/>
            </w:tcMar>
            <w:tcBorders>
              <w:left w:val="single" w:sz="24" w:space="0" w:color="0F766E"/>
              <w:top w:val="none"/>
              <w:right w:val="none"/>
              <w:bottom w:val="none"/>
            </w:tcBorders>
          </w:tcPr>
          <w:p>
            <w:pPr>
              <w:spacing w:before="0" w:after="60"/>
            </w:pPr>
            <w:r>
              <w:rPr>
                <w:rFonts w:ascii="Calibri" w:hAnsi="Calibri"/>
                <w:b/>
                <w:color w:val="1E293B"/>
                <w:sz w:val="22"/>
              </w:rPr>
              <w:t>Project Overview &amp; Context</w:t>
            </w:r>
          </w:p>
          <w:p>
            <w:pPr>
              <w:spacing w:before="0" w:after="0"/>
            </w:pPr>
            <w:r>
              <w:rPr>
                <w:rFonts w:ascii="Calibri" w:hAnsi="Calibri"/>
                <w:color w:val="475569"/>
                <w:sz w:val="19"/>
              </w:rPr>
              <w:t>Based on the data cleaning, feature engineering, RFM segmentation, and Risk Score calculation performed in Python, here are straightforward, practical business recommendations written in clear B1-level English. You can place these directly into your presentation slides or project report.</w:t>
            </w:r>
          </w:p>
        </w:tc>
      </w:tr>
    </w:tbl>
    <w:p>
      <w:pPr>
        <w:spacing w:after="120"/>
      </w:pPr>
    </w:p>
    <w:p>
      <w:pPr>
        <w:keepNext/>
        <w:spacing w:before="160" w:after="40"/>
      </w:pPr>
      <w:r>
        <w:rPr>
          <w:rFonts w:ascii="Calibri" w:hAnsi="Calibri"/>
          <w:b/>
          <w:color w:val="0F766E"/>
          <w:sz w:val="26"/>
        </w:rPr>
        <w:t xml:space="preserve">Recommendation 1: </w:t>
      </w:r>
      <w:r>
        <w:rPr>
          <w:rFonts w:ascii="Calibri" w:hAnsi="Calibri"/>
          <w:b/>
          <w:color w:val="1E293B"/>
          <w:sz w:val="26"/>
        </w:rPr>
        <w:t>Build Targeted Retention Programs Using RFM Segments</w:t>
      </w:r>
    </w:p>
    <w:p>
      <w:pPr>
        <w:keepNext/>
        <w:spacing w:before="0" w:after="120"/>
      </w:pPr>
      <w:r>
        <w:rPr>
          <w:rFonts w:ascii="Calibri" w:hAnsi="Calibri"/>
          <w:i/>
          <w:color w:val="475569"/>
          <w:sz w:val="20"/>
        </w:rPr>
        <w:t>Focus Area: Customer Segmentation (Titanium, Gold, Silver, Bronze)</w:t>
      </w:r>
    </w:p>
    <w:p>
      <w:pPr>
        <w:pStyle w:val="ListBullet"/>
        <w:spacing w:before="0" w:after="60"/>
      </w:pPr>
      <w:r>
        <w:rPr>
          <w:rFonts w:ascii="Calibri" w:hAnsi="Calibri"/>
          <w:b/>
          <w:color w:val="1E293B"/>
          <w:sz w:val="21"/>
        </w:rPr>
        <w:t>Reward top-tier customers (Titanium &amp; Gold):</w:t>
      </w:r>
      <w:r>
        <w:rPr>
          <w:rFonts w:ascii="Calibri" w:hAnsi="Calibri"/>
          <w:color w:val="334155"/>
          <w:sz w:val="21"/>
        </w:rPr>
        <w:t xml:space="preserve"> Give loyal and active customers special rewards, like free upgrades or priority customer support, so they stay satisfied.</w:t>
      </w:r>
    </w:p>
    <w:p>
      <w:pPr>
        <w:pStyle w:val="ListBullet"/>
        <w:spacing w:before="0" w:after="60"/>
      </w:pPr>
      <w:r>
        <w:rPr>
          <w:rFonts w:ascii="Calibri" w:hAnsi="Calibri"/>
          <w:b/>
          <w:color w:val="1E293B"/>
          <w:sz w:val="21"/>
        </w:rPr>
        <w:t>Re-activate at-risk groups (Bronze &amp; Silver):</w:t>
      </w:r>
      <w:r>
        <w:rPr>
          <w:rFonts w:ascii="Calibri" w:hAnsi="Calibri"/>
          <w:color w:val="334155"/>
          <w:sz w:val="21"/>
        </w:rPr>
        <w:t xml:space="preserve"> Send friendly follow-up emails and special discounts to customers who have not interacted with us for a long time.</w:t>
      </w:r>
    </w:p>
    <w:p>
      <w:pPr>
        <w:pStyle w:val="ListBullet"/>
        <w:spacing w:before="0" w:after="60"/>
      </w:pPr>
      <w:r>
        <w:rPr>
          <w:rFonts w:ascii="Calibri" w:hAnsi="Calibri"/>
          <w:b/>
          <w:color w:val="1E293B"/>
          <w:sz w:val="21"/>
        </w:rPr>
        <w:t>Design personalized marketing offers:</w:t>
      </w:r>
      <w:r>
        <w:rPr>
          <w:rFonts w:ascii="Calibri" w:hAnsi="Calibri"/>
          <w:color w:val="334155"/>
          <w:sz w:val="21"/>
        </w:rPr>
        <w:t xml:space="preserve"> Do not treat all customers the same way; match discounts and service plans to each customer's segment habits.</w:t>
      </w:r>
    </w:p>
    <w:tbl>
      <w:tblPr>
        <w:tblW w:type="auto" w:w="0"/>
        <w:jc w:val="center"/>
        <w:tblLayout w:type="fixed"/>
        <w:tblLook w:firstColumn="1" w:firstRow="1" w:lastColumn="0" w:lastRow="0" w:noHBand="0" w:noVBand="1" w:val="04A0"/>
      </w:tblPr>
      <w:tblGrid>
        <w:gridCol w:w="9936"/>
      </w:tblGrid>
      <w:tr>
        <w:tc>
          <w:tcPr>
            <w:tcW w:type="dxa" w:w="9936"/>
            <w:shd w:fill="F0FDFA"/>
            <w:tcMar>
              <w:top w:w="80" w:type="dxa"/>
              <w:bottom w:w="80" w:type="dxa"/>
              <w:left w:w="140" w:type="dxa"/>
              <w:right w:w="140" w:type="dxa"/>
            </w:tcMar>
            <w:tcBorders>
              <w:left w:val="single" w:sz="12" w:space="0" w:color="0F766E"/>
              <w:top w:val="none"/>
              <w:right w:val="none"/>
              <w:bottom w:val="none"/>
            </w:tcBorders>
          </w:tcPr>
          <w:p>
            <w:pPr>
              <w:spacing w:before="0" w:after="0"/>
            </w:pPr>
            <w:r>
              <w:rPr>
                <w:rFonts w:ascii="Calibri" w:hAnsi="Calibri"/>
                <w:b/>
                <w:color w:val="0F766E"/>
                <w:sz w:val="19"/>
              </w:rPr>
              <w:t xml:space="preserve">What to say in presentation: </w:t>
            </w:r>
            <w:r>
              <w:rPr>
                <w:rFonts w:ascii="Calibri" w:hAnsi="Calibri"/>
                <w:i/>
                <w:color w:val="1E293B"/>
                <w:sz w:val="19"/>
              </w:rPr>
              <w:t>"We segmented our customers into five clear groups using RFM. For our top clients in Gold and Titanium, we should protect their loyalty with exclusive perks. For Bronze clients, we should send simple re-engagement emails to win them back."</w:t>
            </w:r>
          </w:p>
        </w:tc>
      </w:tr>
    </w:tbl>
    <w:p>
      <w:pPr>
        <w:spacing w:before="80" w:after="80"/>
      </w:pPr>
    </w:p>
    <w:p>
      <w:pPr>
        <w:keepNext/>
        <w:spacing w:before="160" w:after="40"/>
      </w:pPr>
      <w:r>
        <w:rPr>
          <w:rFonts w:ascii="Calibri" w:hAnsi="Calibri"/>
          <w:b/>
          <w:color w:val="0F766E"/>
          <w:sz w:val="26"/>
        </w:rPr>
        <w:t xml:space="preserve">Recommendation 2: </w:t>
      </w:r>
      <w:r>
        <w:rPr>
          <w:rFonts w:ascii="Calibri" w:hAnsi="Calibri"/>
          <w:b/>
          <w:color w:val="1E293B"/>
          <w:sz w:val="26"/>
        </w:rPr>
        <w:t>Use Proactive Support for High-Risk Accounts</w:t>
      </w:r>
    </w:p>
    <w:p>
      <w:pPr>
        <w:keepNext/>
        <w:spacing w:before="0" w:after="120"/>
      </w:pPr>
      <w:r>
        <w:rPr>
          <w:rFonts w:ascii="Calibri" w:hAnsi="Calibri"/>
          <w:i/>
          <w:color w:val="475569"/>
          <w:sz w:val="20"/>
        </w:rPr>
        <w:t>Focus Area: Early Detection &amp; Complaints Management</w:t>
      </w:r>
    </w:p>
    <w:p>
      <w:pPr>
        <w:pStyle w:val="ListBullet"/>
        <w:spacing w:before="0" w:after="60"/>
      </w:pPr>
      <w:r>
        <w:rPr>
          <w:rFonts w:ascii="Calibri" w:hAnsi="Calibri"/>
          <w:b/>
          <w:color w:val="1E293B"/>
          <w:sz w:val="21"/>
        </w:rPr>
        <w:t>Track early warning signs:</w:t>
      </w:r>
      <w:r>
        <w:rPr>
          <w:rFonts w:ascii="Calibri" w:hAnsi="Calibri"/>
          <w:color w:val="334155"/>
          <w:sz w:val="21"/>
        </w:rPr>
        <w:t xml:space="preserve"> Use our calculated Risk Score to automatically spot clients with late payments, low satisfaction scores (&lt;= 2), or frequent complaints.</w:t>
      </w:r>
    </w:p>
    <w:p>
      <w:pPr>
        <w:pStyle w:val="ListBullet"/>
        <w:spacing w:before="0" w:after="60"/>
      </w:pPr>
      <w:r>
        <w:rPr>
          <w:rFonts w:ascii="Calibri" w:hAnsi="Calibri"/>
          <w:b/>
          <w:color w:val="1E293B"/>
          <w:sz w:val="21"/>
        </w:rPr>
        <w:t>Fast-track critical complaints:</w:t>
      </w:r>
      <w:r>
        <w:rPr>
          <w:rFonts w:ascii="Calibri" w:hAnsi="Calibri"/>
          <w:color w:val="334155"/>
          <w:sz w:val="21"/>
        </w:rPr>
        <w:t xml:space="preserve"> Assign senior support agents to customers who file more than two complaints to solve their problems before they decide to cancel.</w:t>
      </w:r>
    </w:p>
    <w:p>
      <w:pPr>
        <w:pStyle w:val="ListBullet"/>
        <w:spacing w:before="0" w:after="60"/>
      </w:pPr>
      <w:r>
        <w:rPr>
          <w:rFonts w:ascii="Calibri" w:hAnsi="Calibri"/>
          <w:b/>
          <w:color w:val="1E293B"/>
          <w:sz w:val="21"/>
        </w:rPr>
        <w:t>Contact unhappy customers proactively:</w:t>
      </w:r>
      <w:r>
        <w:rPr>
          <w:rFonts w:ascii="Calibri" w:hAnsi="Calibri"/>
          <w:color w:val="334155"/>
          <w:sz w:val="21"/>
        </w:rPr>
        <w:t xml:space="preserve"> Reach out with a quick survey or phone call when satisfaction drops instead of waiting for the customer to leave.</w:t>
      </w:r>
    </w:p>
    <w:tbl>
      <w:tblPr>
        <w:tblW w:type="auto" w:w="0"/>
        <w:jc w:val="center"/>
        <w:tblLayout w:type="fixed"/>
        <w:tblLook w:firstColumn="1" w:firstRow="1" w:lastColumn="0" w:lastRow="0" w:noHBand="0" w:noVBand="1" w:val="04A0"/>
      </w:tblPr>
      <w:tblGrid>
        <w:gridCol w:w="9936"/>
      </w:tblGrid>
      <w:tr>
        <w:tc>
          <w:tcPr>
            <w:tcW w:type="dxa" w:w="9936"/>
            <w:shd w:fill="F0FDFA"/>
            <w:tcMar>
              <w:top w:w="80" w:type="dxa"/>
              <w:bottom w:w="80" w:type="dxa"/>
              <w:left w:w="140" w:type="dxa"/>
              <w:right w:w="140" w:type="dxa"/>
            </w:tcMar>
            <w:tcBorders>
              <w:left w:val="single" w:sz="12" w:space="0" w:color="0F766E"/>
              <w:top w:val="none"/>
              <w:right w:val="none"/>
              <w:bottom w:val="none"/>
            </w:tcBorders>
          </w:tcPr>
          <w:p>
            <w:pPr>
              <w:spacing w:before="0" w:after="0"/>
            </w:pPr>
            <w:r>
              <w:rPr>
                <w:rFonts w:ascii="Calibri" w:hAnsi="Calibri"/>
                <w:b/>
                <w:color w:val="0F766E"/>
                <w:sz w:val="19"/>
              </w:rPr>
              <w:t xml:space="preserve">What to say in presentation: </w:t>
            </w:r>
            <w:r>
              <w:rPr>
                <w:rFonts w:ascii="Calibri" w:hAnsi="Calibri"/>
                <w:i/>
                <w:color w:val="1E293B"/>
                <w:sz w:val="19"/>
              </w:rPr>
              <w:t>"Our custom Risk Score flags customers with late payments or repeated complaints. Instead of waiting for them to cancel their contracts, our support team can call them early and fix their issues immediately."</w:t>
            </w:r>
          </w:p>
        </w:tc>
      </w:tr>
    </w:tbl>
    <w:p>
      <w:pPr>
        <w:spacing w:before="80" w:after="80"/>
      </w:pPr>
    </w:p>
    <w:p>
      <w:pPr>
        <w:keepNext/>
        <w:spacing w:before="160" w:after="40"/>
      </w:pPr>
      <w:r>
        <w:rPr>
          <w:rFonts w:ascii="Calibri" w:hAnsi="Calibri"/>
          <w:b/>
          <w:color w:val="0F766E"/>
          <w:sz w:val="26"/>
        </w:rPr>
        <w:t xml:space="preserve">Recommendation 3: </w:t>
      </w:r>
      <w:r>
        <w:rPr>
          <w:rFonts w:ascii="Calibri" w:hAnsi="Calibri"/>
          <w:b/>
          <w:color w:val="1E293B"/>
          <w:sz w:val="26"/>
        </w:rPr>
        <w:t>Encourage Multi-Service Bundles to Increase Stickiness</w:t>
      </w:r>
    </w:p>
    <w:p>
      <w:pPr>
        <w:keepNext/>
        <w:spacing w:before="0" w:after="120"/>
      </w:pPr>
      <w:r>
        <w:rPr>
          <w:rFonts w:ascii="Calibri" w:hAnsi="Calibri"/>
          <w:i/>
          <w:color w:val="475569"/>
          <w:sz w:val="20"/>
        </w:rPr>
        <w:t>Focus Area: Cross-Selling &amp; Feature Adoption</w:t>
      </w:r>
    </w:p>
    <w:p>
      <w:pPr>
        <w:pStyle w:val="ListBullet"/>
        <w:spacing w:before="0" w:after="60"/>
      </w:pPr>
      <w:r>
        <w:rPr>
          <w:rFonts w:ascii="Calibri" w:hAnsi="Calibri"/>
          <w:b/>
          <w:color w:val="1E293B"/>
          <w:sz w:val="21"/>
        </w:rPr>
        <w:t>Package security and technical support together:</w:t>
      </w:r>
      <w:r>
        <w:rPr>
          <w:rFonts w:ascii="Calibri" w:hAnsi="Calibri"/>
          <w:color w:val="334155"/>
          <w:sz w:val="21"/>
        </w:rPr>
        <w:t xml:space="preserve"> Offer discounted bundles combining internet with Online Security and Tech Support for single-service users.</w:t>
      </w:r>
    </w:p>
    <w:p>
      <w:pPr>
        <w:pStyle w:val="ListBullet"/>
        <w:spacing w:before="0" w:after="60"/>
      </w:pPr>
      <w:r>
        <w:rPr>
          <w:rFonts w:ascii="Calibri" w:hAnsi="Calibri"/>
          <w:b/>
          <w:color w:val="1E293B"/>
          <w:sz w:val="21"/>
        </w:rPr>
        <w:t>Lower the entry cost for new add-ons:</w:t>
      </w:r>
      <w:r>
        <w:rPr>
          <w:rFonts w:ascii="Calibri" w:hAnsi="Calibri"/>
          <w:color w:val="334155"/>
          <w:sz w:val="21"/>
        </w:rPr>
        <w:t xml:space="preserve"> Give a 30-day free trial on device protection or backup tools so users experience the extra value.</w:t>
      </w:r>
    </w:p>
    <w:p>
      <w:pPr>
        <w:pStyle w:val="ListBullet"/>
        <w:spacing w:before="0" w:after="60"/>
      </w:pPr>
      <w:r>
        <w:rPr>
          <w:rFonts w:ascii="Calibri" w:hAnsi="Calibri"/>
          <w:b/>
          <w:color w:val="1E293B"/>
          <w:sz w:val="21"/>
        </w:rPr>
        <w:t>Improve customer retention through more services:</w:t>
      </w:r>
      <w:r>
        <w:rPr>
          <w:rFonts w:ascii="Calibri" w:hAnsi="Calibri"/>
          <w:color w:val="334155"/>
          <w:sz w:val="21"/>
        </w:rPr>
        <w:t xml:space="preserve"> Customers with three or more active services are much less likely to leave because switching becomes harder.</w:t>
      </w:r>
    </w:p>
    <w:tbl>
      <w:tblPr>
        <w:tblW w:type="auto" w:w="0"/>
        <w:jc w:val="center"/>
        <w:tblLayout w:type="fixed"/>
        <w:tblLook w:firstColumn="1" w:firstRow="1" w:lastColumn="0" w:lastRow="0" w:noHBand="0" w:noVBand="1" w:val="04A0"/>
      </w:tblPr>
      <w:tblGrid>
        <w:gridCol w:w="9936"/>
      </w:tblGrid>
      <w:tr>
        <w:tc>
          <w:tcPr>
            <w:tcW w:type="dxa" w:w="9936"/>
            <w:shd w:fill="F0FDFA"/>
            <w:tcMar>
              <w:top w:w="80" w:type="dxa"/>
              <w:bottom w:w="80" w:type="dxa"/>
              <w:left w:w="140" w:type="dxa"/>
              <w:right w:w="140" w:type="dxa"/>
            </w:tcMar>
            <w:tcBorders>
              <w:left w:val="single" w:sz="12" w:space="0" w:color="0F766E"/>
              <w:top w:val="none"/>
              <w:right w:val="none"/>
              <w:bottom w:val="none"/>
            </w:tcBorders>
          </w:tcPr>
          <w:p>
            <w:pPr>
              <w:spacing w:before="0" w:after="0"/>
            </w:pPr>
            <w:r>
              <w:rPr>
                <w:rFonts w:ascii="Calibri" w:hAnsi="Calibri"/>
                <w:b/>
                <w:color w:val="0F766E"/>
                <w:sz w:val="19"/>
              </w:rPr>
              <w:t xml:space="preserve">What to say in presentation: </w:t>
            </w:r>
            <w:r>
              <w:rPr>
                <w:rFonts w:ascii="Calibri" w:hAnsi="Calibri"/>
                <w:i/>
                <w:color w:val="1E293B"/>
                <w:sz w:val="19"/>
              </w:rPr>
              <w:t>"We found that customers using multiple services have much higher loyalty. If we bundle basic internet with Online Security or Tech Support at a small discount, customers stay with the company longer."</w:t>
            </w:r>
          </w:p>
        </w:tc>
      </w:tr>
    </w:tbl>
    <w:p>
      <w:pPr>
        <w:spacing w:before="80" w:after="80"/>
      </w:pPr>
    </w:p>
    <w:p>
      <w:pPr>
        <w:keepNext/>
        <w:spacing w:before="160" w:after="40"/>
      </w:pPr>
      <w:r>
        <w:rPr>
          <w:rFonts w:ascii="Calibri" w:hAnsi="Calibri"/>
          <w:b/>
          <w:color w:val="0F766E"/>
          <w:sz w:val="26"/>
        </w:rPr>
        <w:t xml:space="preserve">Recommendation 4: </w:t>
      </w:r>
      <w:r>
        <w:rPr>
          <w:rFonts w:ascii="Calibri" w:hAnsi="Calibri"/>
          <w:b/>
          <w:color w:val="1E293B"/>
          <w:sz w:val="26"/>
        </w:rPr>
        <w:t>Improve Payment Workflows and Promote Longer Contracts</w:t>
      </w:r>
    </w:p>
    <w:p>
      <w:pPr>
        <w:keepNext/>
        <w:spacing w:before="0" w:after="120"/>
      </w:pPr>
      <w:r>
        <w:rPr>
          <w:rFonts w:ascii="Calibri" w:hAnsi="Calibri"/>
          <w:i/>
          <w:color w:val="475569"/>
          <w:sz w:val="20"/>
        </w:rPr>
        <w:t>Focus Area: Billing Experience &amp; Contract Duration</w:t>
      </w:r>
    </w:p>
    <w:p>
      <w:pPr>
        <w:pStyle w:val="ListBullet"/>
        <w:spacing w:before="0" w:after="60"/>
      </w:pPr>
      <w:r>
        <w:rPr>
          <w:rFonts w:ascii="Calibri" w:hAnsi="Calibri"/>
          <w:b/>
          <w:color w:val="1E293B"/>
          <w:sz w:val="21"/>
        </w:rPr>
        <w:t>Incentivize automatic payment methods:</w:t>
      </w:r>
      <w:r>
        <w:rPr>
          <w:rFonts w:ascii="Calibri" w:hAnsi="Calibri"/>
          <w:color w:val="334155"/>
          <w:sz w:val="21"/>
        </w:rPr>
        <w:t xml:space="preserve"> Give a small monthly discount (like $2 to $3) for customers who use Credit Card or Auto-Pay to prevent late payments.</w:t>
      </w:r>
    </w:p>
    <w:p>
      <w:pPr>
        <w:pStyle w:val="ListBullet"/>
        <w:spacing w:before="0" w:after="60"/>
      </w:pPr>
      <w:r>
        <w:rPr>
          <w:rFonts w:ascii="Calibri" w:hAnsi="Calibri"/>
          <w:b/>
          <w:color w:val="1E293B"/>
          <w:sz w:val="21"/>
        </w:rPr>
        <w:t>Convert month-to-month users into 1-year plans:</w:t>
      </w:r>
      <w:r>
        <w:rPr>
          <w:rFonts w:ascii="Calibri" w:hAnsi="Calibri"/>
          <w:color w:val="334155"/>
          <w:sz w:val="21"/>
        </w:rPr>
        <w:t xml:space="preserve"> Offer month-to-month customers an attractive introductory rate if they upgrade to an annual contract.</w:t>
      </w:r>
    </w:p>
    <w:p>
      <w:pPr>
        <w:pStyle w:val="ListBullet"/>
        <w:spacing w:before="0" w:after="60"/>
      </w:pPr>
      <w:r>
        <w:rPr>
          <w:rFonts w:ascii="Calibri" w:hAnsi="Calibri"/>
          <w:b/>
          <w:color w:val="1E293B"/>
          <w:sz w:val="21"/>
        </w:rPr>
        <w:t>Send helpful payment reminders:</w:t>
      </w:r>
      <w:r>
        <w:rPr>
          <w:rFonts w:ascii="Calibri" w:hAnsi="Calibri"/>
          <w:color w:val="334155"/>
          <w:sz w:val="21"/>
        </w:rPr>
        <w:t xml:space="preserve"> Send friendly SMS or email reminders 3 days before the billing due date to help reduce missed payments.</w:t>
      </w:r>
    </w:p>
    <w:tbl>
      <w:tblPr>
        <w:tblW w:type="auto" w:w="0"/>
        <w:jc w:val="center"/>
        <w:tblLayout w:type="fixed"/>
        <w:tblLook w:firstColumn="1" w:firstRow="1" w:lastColumn="0" w:lastRow="0" w:noHBand="0" w:noVBand="1" w:val="04A0"/>
      </w:tblPr>
      <w:tblGrid>
        <w:gridCol w:w="9936"/>
      </w:tblGrid>
      <w:tr>
        <w:tc>
          <w:tcPr>
            <w:tcW w:type="dxa" w:w="9936"/>
            <w:shd w:fill="F0FDFA"/>
            <w:tcMar>
              <w:top w:w="80" w:type="dxa"/>
              <w:bottom w:w="80" w:type="dxa"/>
              <w:left w:w="140" w:type="dxa"/>
              <w:right w:w="140" w:type="dxa"/>
            </w:tcMar>
            <w:tcBorders>
              <w:left w:val="single" w:sz="12" w:space="0" w:color="0F766E"/>
              <w:top w:val="none"/>
              <w:right w:val="none"/>
              <w:bottom w:val="none"/>
            </w:tcBorders>
          </w:tcPr>
          <w:p>
            <w:pPr>
              <w:spacing w:before="0" w:after="0"/>
            </w:pPr>
            <w:r>
              <w:rPr>
                <w:rFonts w:ascii="Calibri" w:hAnsi="Calibri"/>
                <w:b/>
                <w:color w:val="0F766E"/>
                <w:sz w:val="19"/>
              </w:rPr>
              <w:t xml:space="preserve">What to say in presentation: </w:t>
            </w:r>
            <w:r>
              <w:rPr>
                <w:rFonts w:ascii="Calibri" w:hAnsi="Calibri"/>
                <w:i/>
                <w:color w:val="1E293B"/>
                <w:sz w:val="19"/>
              </w:rPr>
              <w:t>"Late payments are one of the main drivers of churn risk. By encouraging automatic credit card billing and offering better rates for 1-year commitments, we can make monthly revenue much more stable."</w:t>
            </w:r>
          </w:p>
        </w:tc>
      </w:tr>
    </w:tbl>
    <w:p>
      <w:pPr>
        <w:spacing w:before="80" w:after="80"/>
      </w:pPr>
    </w:p>
    <w:p>
      <w:r>
        <w:br w:type="page"/>
      </w:r>
    </w:p>
    <w:p>
      <w:pPr>
        <w:spacing w:before="80" w:after="40"/>
      </w:pPr>
      <w:r>
        <w:rPr>
          <w:rFonts w:ascii="Calibri" w:hAnsi="Calibri"/>
          <w:b/>
          <w:color w:val="1E293B"/>
          <w:sz w:val="32"/>
        </w:rPr>
        <w:t>Presentation Slide Summary Table (Quick Reference)</w:t>
      </w:r>
    </w:p>
    <w:p>
      <w:pPr>
        <w:spacing w:before="0" w:after="200"/>
      </w:pPr>
      <w:r>
        <w:rPr>
          <w:rFonts w:ascii="Calibri" w:hAnsi="Calibri"/>
          <w:color w:val="475569"/>
          <w:sz w:val="20"/>
        </w:rPr>
        <w:t>Use this structured table on your summary slide or print it out to keep in front of you during the presentation.</w:t>
      </w:r>
    </w:p>
    <w:tbl>
      <w:tblPr>
        <w:tblW w:type="auto" w:w="0"/>
        <w:jc w:val="center"/>
        <w:tblLayout w:type="fixed"/>
        <w:tblLook w:firstColumn="1" w:firstRow="1" w:lastColumn="0" w:lastRow="0" w:noHBand="0" w:noVBand="1" w:val="04A0"/>
      </w:tblPr>
      <w:tblGrid>
        <w:gridCol w:w="1872"/>
        <w:gridCol w:w="2592"/>
        <w:gridCol w:w="3168"/>
        <w:gridCol w:w="2304"/>
      </w:tblGrid>
      <w:tr>
        <w:tc>
          <w:tcPr>
            <w:tcW w:type="dxa" w:w="2484"/>
            <w:shd w:fill="1E293B"/>
            <w:tcMar>
              <w:top w:w="100" w:type="dxa"/>
              <w:bottom w:w="100" w:type="dxa"/>
              <w:left w:w="100" w:type="dxa"/>
              <w:right w:w="100" w:type="dxa"/>
            </w:tcMar>
          </w:tcPr>
          <w:p>
            <w:pPr>
              <w:spacing w:before="0" w:after="0"/>
            </w:pPr>
            <w:r>
              <w:rPr>
                <w:rFonts w:ascii="Calibri" w:hAnsi="Calibri"/>
                <w:b/>
                <w:color w:val="FFFFFF"/>
                <w:sz w:val="19"/>
              </w:rPr>
              <w:t>Pillar</w:t>
            </w:r>
          </w:p>
        </w:tc>
        <w:tc>
          <w:tcPr>
            <w:tcW w:type="dxa" w:w="2484"/>
            <w:shd w:fill="1E293B"/>
            <w:tcMar>
              <w:top w:w="100" w:type="dxa"/>
              <w:bottom w:w="100" w:type="dxa"/>
              <w:left w:w="100" w:type="dxa"/>
              <w:right w:w="100" w:type="dxa"/>
            </w:tcMar>
          </w:tcPr>
          <w:p>
            <w:pPr>
              <w:spacing w:before="0" w:after="0"/>
            </w:pPr>
            <w:r>
              <w:rPr>
                <w:rFonts w:ascii="Calibri" w:hAnsi="Calibri"/>
                <w:b/>
                <w:color w:val="FFFFFF"/>
                <w:sz w:val="19"/>
              </w:rPr>
              <w:t>Key Insight from Data</w:t>
            </w:r>
          </w:p>
        </w:tc>
        <w:tc>
          <w:tcPr>
            <w:tcW w:type="dxa" w:w="2484"/>
            <w:shd w:fill="1E293B"/>
            <w:tcMar>
              <w:top w:w="100" w:type="dxa"/>
              <w:bottom w:w="100" w:type="dxa"/>
              <w:left w:w="100" w:type="dxa"/>
              <w:right w:w="100" w:type="dxa"/>
            </w:tcMar>
          </w:tcPr>
          <w:p>
            <w:pPr>
              <w:spacing w:before="0" w:after="0"/>
            </w:pPr>
            <w:r>
              <w:rPr>
                <w:rFonts w:ascii="Calibri" w:hAnsi="Calibri"/>
                <w:b/>
                <w:color w:val="FFFFFF"/>
                <w:sz w:val="19"/>
              </w:rPr>
              <w:t>Proposed Action</w:t>
            </w:r>
          </w:p>
        </w:tc>
        <w:tc>
          <w:tcPr>
            <w:tcW w:type="dxa" w:w="2484"/>
            <w:shd w:fill="1E293B"/>
            <w:tcMar>
              <w:top w:w="100" w:type="dxa"/>
              <w:bottom w:w="100" w:type="dxa"/>
              <w:left w:w="100" w:type="dxa"/>
              <w:right w:w="100" w:type="dxa"/>
            </w:tcMar>
          </w:tcPr>
          <w:p>
            <w:pPr>
              <w:spacing w:before="0" w:after="0"/>
            </w:pPr>
            <w:r>
              <w:rPr>
                <w:rFonts w:ascii="Calibri" w:hAnsi="Calibri"/>
                <w:b/>
                <w:color w:val="FFFFFF"/>
                <w:sz w:val="19"/>
              </w:rPr>
              <w:t>Expected Result</w:t>
            </w:r>
          </w:p>
        </w:tc>
      </w:tr>
      <w:tr>
        <w:tc>
          <w:tcPr>
            <w:tcW w:type="dxa" w:w="2484"/>
            <w:shd w:fill="FFFFFF"/>
            <w:tcMar>
              <w:top w:w="80" w:type="dxa"/>
              <w:bottom w:w="80" w:type="dxa"/>
              <w:left w:w="100" w:type="dxa"/>
              <w:right w:w="100" w:type="dxa"/>
            </w:tcMar>
            <w:tcBorders>
              <w:top w:val="single" w:sz="4" w:space="0" w:color="CBD5E1"/>
              <w:bottom w:val="single" w:sz="4" w:space="0" w:color="CBD5E1"/>
              <w:left w:val="none"/>
              <w:right w:val="none"/>
            </w:tcBorders>
          </w:tcPr>
          <w:p>
            <w:pPr>
              <w:spacing w:before="0" w:after="0"/>
            </w:pPr>
            <w:r>
              <w:rPr>
                <w:rFonts w:ascii="Calibri" w:hAnsi="Calibri"/>
                <w:b/>
                <w:color w:val="1E293B"/>
                <w:sz w:val="18"/>
              </w:rPr>
              <w:t>1. RFM Loyalty</w:t>
            </w:r>
          </w:p>
        </w:tc>
        <w:tc>
          <w:tcPr>
            <w:tcW w:type="dxa" w:w="2484"/>
            <w:shd w:fill="FFFFFF"/>
            <w:tcMar>
              <w:top w:w="80" w:type="dxa"/>
              <w:bottom w:w="80" w:type="dxa"/>
              <w:left w:w="100" w:type="dxa"/>
              <w:right w:w="100" w:type="dxa"/>
            </w:tcMar>
            <w:tcBorders>
              <w:top w:val="single" w:sz="4" w:space="0" w:color="CBD5E1"/>
              <w:bottom w:val="single" w:sz="4" w:space="0" w:color="CBD5E1"/>
              <w:left w:val="none"/>
              <w:right w:val="none"/>
            </w:tcBorders>
          </w:tcPr>
          <w:p>
            <w:pPr>
              <w:spacing w:before="0" w:after="0"/>
            </w:pPr>
            <w:r>
              <w:rPr>
                <w:rFonts w:ascii="Calibri" w:hAnsi="Calibri"/>
                <w:color w:val="1E293B"/>
                <w:sz w:val="18"/>
              </w:rPr>
              <w:t>Customers fall into 5 distinct spending &amp; activity segments.</w:t>
            </w:r>
          </w:p>
        </w:tc>
        <w:tc>
          <w:tcPr>
            <w:tcW w:type="dxa" w:w="2484"/>
            <w:shd w:fill="FFFFFF"/>
            <w:tcMar>
              <w:top w:w="80" w:type="dxa"/>
              <w:bottom w:w="80" w:type="dxa"/>
              <w:left w:w="100" w:type="dxa"/>
              <w:right w:w="100" w:type="dxa"/>
            </w:tcMar>
            <w:tcBorders>
              <w:top w:val="single" w:sz="4" w:space="0" w:color="CBD5E1"/>
              <w:bottom w:val="single" w:sz="4" w:space="0" w:color="CBD5E1"/>
              <w:left w:val="none"/>
              <w:right w:val="none"/>
            </w:tcBorders>
          </w:tcPr>
          <w:p>
            <w:pPr>
              <w:spacing w:before="0" w:after="0"/>
            </w:pPr>
            <w:r>
              <w:rPr>
                <w:rFonts w:ascii="Calibri" w:hAnsi="Calibri"/>
                <w:color w:val="1E293B"/>
                <w:sz w:val="18"/>
              </w:rPr>
              <w:t>Offer loyalty perks to Titanium/Gold; re-engage Bronze/Silver.</w:t>
            </w:r>
          </w:p>
        </w:tc>
        <w:tc>
          <w:tcPr>
            <w:tcW w:type="dxa" w:w="2484"/>
            <w:shd w:fill="FFFFFF"/>
            <w:tcMar>
              <w:top w:w="80" w:type="dxa"/>
              <w:bottom w:w="80" w:type="dxa"/>
              <w:left w:w="100" w:type="dxa"/>
              <w:right w:w="100" w:type="dxa"/>
            </w:tcMar>
            <w:tcBorders>
              <w:top w:val="single" w:sz="4" w:space="0" w:color="CBD5E1"/>
              <w:bottom w:val="single" w:sz="4" w:space="0" w:color="CBD5E1"/>
              <w:left w:val="none"/>
              <w:right w:val="none"/>
            </w:tcBorders>
          </w:tcPr>
          <w:p>
            <w:pPr>
              <w:spacing w:before="0" w:after="0"/>
            </w:pPr>
            <w:r>
              <w:rPr>
                <w:rFonts w:ascii="Calibri" w:hAnsi="Calibri"/>
                <w:color w:val="1E293B"/>
                <w:sz w:val="18"/>
              </w:rPr>
              <w:t>Higher lifetime value and fewer lost high-value accounts.</w:t>
            </w:r>
          </w:p>
        </w:tc>
      </w:tr>
      <w:tr>
        <w:tc>
          <w:tcPr>
            <w:tcW w:type="dxa" w:w="2484"/>
            <w:shd w:fill="F8FAFC"/>
            <w:tcMar>
              <w:top w:w="80" w:type="dxa"/>
              <w:bottom w:w="80" w:type="dxa"/>
              <w:left w:w="100" w:type="dxa"/>
              <w:right w:w="100" w:type="dxa"/>
            </w:tcMar>
            <w:tcBorders>
              <w:top w:val="single" w:sz="4" w:space="0" w:color="CBD5E1"/>
              <w:bottom w:val="single" w:sz="4" w:space="0" w:color="CBD5E1"/>
              <w:left w:val="none"/>
              <w:right w:val="none"/>
            </w:tcBorders>
          </w:tcPr>
          <w:p>
            <w:pPr>
              <w:spacing w:before="0" w:after="0"/>
            </w:pPr>
            <w:r>
              <w:rPr>
                <w:rFonts w:ascii="Calibri" w:hAnsi="Calibri"/>
                <w:b/>
                <w:color w:val="1E293B"/>
                <w:sz w:val="18"/>
              </w:rPr>
              <w:t>2. Risk Mitigation</w:t>
            </w:r>
          </w:p>
        </w:tc>
        <w:tc>
          <w:tcPr>
            <w:tcW w:type="dxa" w:w="2484"/>
            <w:shd w:fill="F8FAFC"/>
            <w:tcMar>
              <w:top w:w="80" w:type="dxa"/>
              <w:bottom w:w="80" w:type="dxa"/>
              <w:left w:w="100" w:type="dxa"/>
              <w:right w:w="100" w:type="dxa"/>
            </w:tcMar>
            <w:tcBorders>
              <w:top w:val="single" w:sz="4" w:space="0" w:color="CBD5E1"/>
              <w:bottom w:val="single" w:sz="4" w:space="0" w:color="CBD5E1"/>
              <w:left w:val="none"/>
              <w:right w:val="none"/>
            </w:tcBorders>
          </w:tcPr>
          <w:p>
            <w:pPr>
              <w:spacing w:before="0" w:after="0"/>
            </w:pPr>
            <w:r>
              <w:rPr>
                <w:rFonts w:ascii="Calibri" w:hAnsi="Calibri"/>
                <w:color w:val="1E293B"/>
                <w:sz w:val="18"/>
              </w:rPr>
              <w:t>Late payments &amp; repeated complaints strongly signal churn.</w:t>
            </w:r>
          </w:p>
        </w:tc>
        <w:tc>
          <w:tcPr>
            <w:tcW w:type="dxa" w:w="2484"/>
            <w:shd w:fill="F8FAFC"/>
            <w:tcMar>
              <w:top w:w="80" w:type="dxa"/>
              <w:bottom w:w="80" w:type="dxa"/>
              <w:left w:w="100" w:type="dxa"/>
              <w:right w:w="100" w:type="dxa"/>
            </w:tcMar>
            <w:tcBorders>
              <w:top w:val="single" w:sz="4" w:space="0" w:color="CBD5E1"/>
              <w:bottom w:val="single" w:sz="4" w:space="0" w:color="CBD5E1"/>
              <w:left w:val="none"/>
              <w:right w:val="none"/>
            </w:tcBorders>
          </w:tcPr>
          <w:p>
            <w:pPr>
              <w:spacing w:before="0" w:after="0"/>
            </w:pPr>
            <w:r>
              <w:rPr>
                <w:rFonts w:ascii="Calibri" w:hAnsi="Calibri"/>
                <w:color w:val="1E293B"/>
                <w:sz w:val="18"/>
              </w:rPr>
              <w:t>Automate risk alerts and assign fast support follow-ups.</w:t>
            </w:r>
          </w:p>
        </w:tc>
        <w:tc>
          <w:tcPr>
            <w:tcW w:type="dxa" w:w="2484"/>
            <w:shd w:fill="F8FAFC"/>
            <w:tcMar>
              <w:top w:w="80" w:type="dxa"/>
              <w:bottom w:w="80" w:type="dxa"/>
              <w:left w:w="100" w:type="dxa"/>
              <w:right w:w="100" w:type="dxa"/>
            </w:tcMar>
            <w:tcBorders>
              <w:top w:val="single" w:sz="4" w:space="0" w:color="CBD5E1"/>
              <w:bottom w:val="single" w:sz="4" w:space="0" w:color="CBD5E1"/>
              <w:left w:val="none"/>
              <w:right w:val="none"/>
            </w:tcBorders>
          </w:tcPr>
          <w:p>
            <w:pPr>
              <w:spacing w:before="0" w:after="0"/>
            </w:pPr>
            <w:r>
              <w:rPr>
                <w:rFonts w:ascii="Calibri" w:hAnsi="Calibri"/>
                <w:color w:val="1E293B"/>
                <w:sz w:val="18"/>
              </w:rPr>
              <w:t>Prevent cancellation before the customer makes the decision.</w:t>
            </w:r>
          </w:p>
        </w:tc>
      </w:tr>
      <w:tr>
        <w:tc>
          <w:tcPr>
            <w:tcW w:type="dxa" w:w="2484"/>
            <w:shd w:fill="FFFFFF"/>
            <w:tcMar>
              <w:top w:w="80" w:type="dxa"/>
              <w:bottom w:w="80" w:type="dxa"/>
              <w:left w:w="100" w:type="dxa"/>
              <w:right w:w="100" w:type="dxa"/>
            </w:tcMar>
            <w:tcBorders>
              <w:top w:val="single" w:sz="4" w:space="0" w:color="CBD5E1"/>
              <w:bottom w:val="single" w:sz="4" w:space="0" w:color="CBD5E1"/>
              <w:left w:val="none"/>
              <w:right w:val="none"/>
            </w:tcBorders>
          </w:tcPr>
          <w:p>
            <w:pPr>
              <w:spacing w:before="0" w:after="0"/>
            </w:pPr>
            <w:r>
              <w:rPr>
                <w:rFonts w:ascii="Calibri" w:hAnsi="Calibri"/>
                <w:b/>
                <w:color w:val="1E293B"/>
                <w:sz w:val="18"/>
              </w:rPr>
              <w:t>3. Cross-Selling</w:t>
            </w:r>
          </w:p>
        </w:tc>
        <w:tc>
          <w:tcPr>
            <w:tcW w:type="dxa" w:w="2484"/>
            <w:shd w:fill="FFFFFF"/>
            <w:tcMar>
              <w:top w:w="80" w:type="dxa"/>
              <w:bottom w:w="80" w:type="dxa"/>
              <w:left w:w="100" w:type="dxa"/>
              <w:right w:w="100" w:type="dxa"/>
            </w:tcMar>
            <w:tcBorders>
              <w:top w:val="single" w:sz="4" w:space="0" w:color="CBD5E1"/>
              <w:bottom w:val="single" w:sz="4" w:space="0" w:color="CBD5E1"/>
              <w:left w:val="none"/>
              <w:right w:val="none"/>
            </w:tcBorders>
          </w:tcPr>
          <w:p>
            <w:pPr>
              <w:spacing w:before="0" w:after="0"/>
            </w:pPr>
            <w:r>
              <w:rPr>
                <w:rFonts w:ascii="Calibri" w:hAnsi="Calibri"/>
                <w:color w:val="1E293B"/>
                <w:sz w:val="18"/>
              </w:rPr>
              <w:t>Single-service users show weaker retention than multi-service users.</w:t>
            </w:r>
          </w:p>
        </w:tc>
        <w:tc>
          <w:tcPr>
            <w:tcW w:type="dxa" w:w="2484"/>
            <w:shd w:fill="FFFFFF"/>
            <w:tcMar>
              <w:top w:w="80" w:type="dxa"/>
              <w:bottom w:w="80" w:type="dxa"/>
              <w:left w:w="100" w:type="dxa"/>
              <w:right w:w="100" w:type="dxa"/>
            </w:tcMar>
            <w:tcBorders>
              <w:top w:val="single" w:sz="4" w:space="0" w:color="CBD5E1"/>
              <w:bottom w:val="single" w:sz="4" w:space="0" w:color="CBD5E1"/>
              <w:left w:val="none"/>
              <w:right w:val="none"/>
            </w:tcBorders>
          </w:tcPr>
          <w:p>
            <w:pPr>
              <w:spacing w:before="0" w:after="0"/>
            </w:pPr>
            <w:r>
              <w:rPr>
                <w:rFonts w:ascii="Calibri" w:hAnsi="Calibri"/>
                <w:color w:val="1E293B"/>
                <w:sz w:val="18"/>
              </w:rPr>
              <w:t>Bundle internet with Online Security &amp; Tech Support.</w:t>
            </w:r>
          </w:p>
        </w:tc>
        <w:tc>
          <w:tcPr>
            <w:tcW w:type="dxa" w:w="2484"/>
            <w:shd w:fill="FFFFFF"/>
            <w:tcMar>
              <w:top w:w="80" w:type="dxa"/>
              <w:bottom w:w="80" w:type="dxa"/>
              <w:left w:w="100" w:type="dxa"/>
              <w:right w:w="100" w:type="dxa"/>
            </w:tcMar>
            <w:tcBorders>
              <w:top w:val="single" w:sz="4" w:space="0" w:color="CBD5E1"/>
              <w:bottom w:val="single" w:sz="4" w:space="0" w:color="CBD5E1"/>
              <w:left w:val="none"/>
              <w:right w:val="none"/>
            </w:tcBorders>
          </w:tcPr>
          <w:p>
            <w:pPr>
              <w:spacing w:before="0" w:after="0"/>
            </w:pPr>
            <w:r>
              <w:rPr>
                <w:rFonts w:ascii="Calibri" w:hAnsi="Calibri"/>
                <w:color w:val="1E293B"/>
                <w:sz w:val="18"/>
              </w:rPr>
              <w:t>Increased average monthly revenue and customer stickiness.</w:t>
            </w:r>
          </w:p>
        </w:tc>
      </w:tr>
      <w:tr>
        <w:tc>
          <w:tcPr>
            <w:tcW w:type="dxa" w:w="2484"/>
            <w:shd w:fill="F8FAFC"/>
            <w:tcMar>
              <w:top w:w="80" w:type="dxa"/>
              <w:bottom w:w="80" w:type="dxa"/>
              <w:left w:w="100" w:type="dxa"/>
              <w:right w:w="100" w:type="dxa"/>
            </w:tcMar>
            <w:tcBorders>
              <w:top w:val="single" w:sz="4" w:space="0" w:color="CBD5E1"/>
              <w:bottom w:val="single" w:sz="4" w:space="0" w:color="CBD5E1"/>
              <w:left w:val="none"/>
              <w:right w:val="none"/>
            </w:tcBorders>
          </w:tcPr>
          <w:p>
            <w:pPr>
              <w:spacing w:before="0" w:after="0"/>
            </w:pPr>
            <w:r>
              <w:rPr>
                <w:rFonts w:ascii="Calibri" w:hAnsi="Calibri"/>
                <w:b/>
                <w:color w:val="1E293B"/>
                <w:sz w:val="18"/>
              </w:rPr>
              <w:t>4. Billing Stability</w:t>
            </w:r>
          </w:p>
        </w:tc>
        <w:tc>
          <w:tcPr>
            <w:tcW w:type="dxa" w:w="2484"/>
            <w:shd w:fill="F8FAFC"/>
            <w:tcMar>
              <w:top w:w="80" w:type="dxa"/>
              <w:bottom w:w="80" w:type="dxa"/>
              <w:left w:w="100" w:type="dxa"/>
              <w:right w:w="100" w:type="dxa"/>
            </w:tcMar>
            <w:tcBorders>
              <w:top w:val="single" w:sz="4" w:space="0" w:color="CBD5E1"/>
              <w:bottom w:val="single" w:sz="4" w:space="0" w:color="CBD5E1"/>
              <w:left w:val="none"/>
              <w:right w:val="none"/>
            </w:tcBorders>
          </w:tcPr>
          <w:p>
            <w:pPr>
              <w:spacing w:before="0" w:after="0"/>
            </w:pPr>
            <w:r>
              <w:rPr>
                <w:rFonts w:ascii="Calibri" w:hAnsi="Calibri"/>
                <w:color w:val="1E293B"/>
                <w:sz w:val="18"/>
              </w:rPr>
              <w:t>Late payment incidents contribute heavily to risk scoring.</w:t>
            </w:r>
          </w:p>
        </w:tc>
        <w:tc>
          <w:tcPr>
            <w:tcW w:type="dxa" w:w="2484"/>
            <w:shd w:fill="F8FAFC"/>
            <w:tcMar>
              <w:top w:w="80" w:type="dxa"/>
              <w:bottom w:w="80" w:type="dxa"/>
              <w:left w:w="100" w:type="dxa"/>
              <w:right w:w="100" w:type="dxa"/>
            </w:tcMar>
            <w:tcBorders>
              <w:top w:val="single" w:sz="4" w:space="0" w:color="CBD5E1"/>
              <w:bottom w:val="single" w:sz="4" w:space="0" w:color="CBD5E1"/>
              <w:left w:val="none"/>
              <w:right w:val="none"/>
            </w:tcBorders>
          </w:tcPr>
          <w:p>
            <w:pPr>
              <w:spacing w:before="0" w:after="0"/>
            </w:pPr>
            <w:r>
              <w:rPr>
                <w:rFonts w:ascii="Calibri" w:hAnsi="Calibri"/>
                <w:color w:val="1E293B"/>
                <w:sz w:val="18"/>
              </w:rPr>
              <w:t>Promote Auto-Pay discounts and annual contract renewals.</w:t>
            </w:r>
          </w:p>
        </w:tc>
        <w:tc>
          <w:tcPr>
            <w:tcW w:type="dxa" w:w="2484"/>
            <w:shd w:fill="F8FAFC"/>
            <w:tcMar>
              <w:top w:w="80" w:type="dxa"/>
              <w:bottom w:w="80" w:type="dxa"/>
              <w:left w:w="100" w:type="dxa"/>
              <w:right w:w="100" w:type="dxa"/>
            </w:tcMar>
            <w:tcBorders>
              <w:top w:val="single" w:sz="4" w:space="0" w:color="CBD5E1"/>
              <w:bottom w:val="single" w:sz="4" w:space="0" w:color="CBD5E1"/>
              <w:left w:val="none"/>
              <w:right w:val="none"/>
            </w:tcBorders>
          </w:tcPr>
          <w:p>
            <w:pPr>
              <w:spacing w:before="0" w:after="0"/>
            </w:pPr>
            <w:r>
              <w:rPr>
                <w:rFonts w:ascii="Calibri" w:hAnsi="Calibri"/>
                <w:color w:val="1E293B"/>
                <w:sz w:val="18"/>
              </w:rPr>
              <w:t>Smoother cash flow and fewer contract drops.</w:t>
            </w:r>
          </w:p>
        </w:tc>
      </w:tr>
    </w:tbl>
    <w:p>
      <w:pPr>
        <w:spacing w:after="240"/>
      </w:pPr>
    </w:p>
    <w:p>
      <w:pPr>
        <w:keepNext/>
        <w:spacing w:before="80" w:after="40"/>
      </w:pPr>
      <w:r>
        <w:rPr>
          <w:rFonts w:ascii="Calibri" w:hAnsi="Calibri"/>
          <w:b/>
          <w:color w:val="0F766E"/>
          <w:sz w:val="24"/>
        </w:rPr>
        <w:t>Bonus: What to Answer if the Instructor Asks About Future Work</w:t>
      </w:r>
    </w:p>
    <w:tbl>
      <w:tblPr>
        <w:tblW w:type="auto" w:w="0"/>
        <w:jc w:val="center"/>
        <w:tblLayout w:type="fixed"/>
        <w:tblLook w:firstColumn="1" w:firstRow="1" w:lastColumn="0" w:lastRow="0" w:noHBand="0" w:noVBand="1" w:val="04A0"/>
      </w:tblPr>
      <w:tblGrid>
        <w:gridCol w:w="9936"/>
      </w:tblGrid>
      <w:tr>
        <w:tc>
          <w:tcPr>
            <w:tcW w:type="dxa" w:w="9936"/>
            <w:shd w:fill="F1F5F9"/>
            <w:tcMar>
              <w:top w:w="120" w:type="dxa"/>
              <w:bottom w:w="120" w:type="dxa"/>
              <w:left w:w="160" w:type="dxa"/>
              <w:right w:w="160" w:type="dxa"/>
            </w:tcMar>
            <w:tcBorders>
              <w:left w:val="single" w:sz="20" w:space="0" w:color="334155"/>
              <w:top w:val="none"/>
              <w:right w:val="none"/>
              <w:bottom w:val="none"/>
            </w:tcBorders>
          </w:tcPr>
          <w:p>
            <w:pPr>
              <w:spacing w:before="0" w:after="0"/>
            </w:pPr>
            <w:r>
              <w:rPr>
                <w:rFonts w:ascii="Calibri" w:hAnsi="Calibri"/>
                <w:i/>
                <w:color w:val="1E293B"/>
                <w:sz w:val="19"/>
              </w:rPr>
              <w:t>"The next step in this project is to train machine learning models (such as Random Forest or XGBoost) using our newly engineered features—including RFM scores, Risk Levels, and service ratios—to predict customer churn accurately and find the most important churn drivers."</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