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تحويل وقيد المبلغ من أمانات هذه القضية إلى حساب وأمانات القضية التنفيذية المشار إليها وإجراء القيود المحاسبية اللازمة.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2026-08-26T13:22:01.593Z</dcterms:created>
  <dcterms:modified xsi:type="dcterms:W3CDTF">2026-08-26T13:22:01.593Z</dcterms:modified>
</cp:coreProperties>
</file>

<file path=docProps/custom.xml><?xml version="1.0" encoding="utf-8"?>
<Properties xmlns="http://schemas.openxmlformats.org/officeDocument/2006/custom-properties" xmlns:vt="http://schemas.openxmlformats.org/officeDocument/2006/docPropsVTypes"/>
</file>