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وتوريد إعلان الإحالة القطعية ونشره في صحيفة يومية محلية تمهيداً للتسجيل النهائي. سنداً لأحكام المادة (80)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2026-08-26T13:25:07.621Z</dcterms:created>
  <dcterms:modified xsi:type="dcterms:W3CDTF">2026-08-26T13:25:07.621Z</dcterms:modified>
</cp:coreProperties>
</file>

<file path=docProps/custom.xml><?xml version="1.0" encoding="utf-8"?>
<Properties xmlns="http://schemas.openxmlformats.org/officeDocument/2006/custom-properties" xmlns:vt="http://schemas.openxmlformats.org/officeDocument/2006/docPropsVTypes"/>
</file>