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الموافقة على إمهال المستدعي وتأجيل تنفيذ قرار الحبس لمدة (...) يوماً وكف البحث عنه مؤقتاً لهذه الغاية. سنداً لأحكام قانون التنفيذ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2026-08-26T13:21:48.789Z</dcterms:created>
  <dcterms:modified xsi:type="dcterms:W3CDTF">2026-08-26T13:21:48.789Z</dcterms:modified>
</cp:coreProperties>
</file>

<file path=docProps/custom.xml><?xml version="1.0" encoding="utf-8"?>
<Properties xmlns="http://schemas.openxmlformats.org/officeDocument/2006/custom-properties" xmlns:vt="http://schemas.openxmlformats.org/officeDocument/2006/docPropsVTypes"/>
</file>