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رفع إشارة الحجز التنفيذي الموقعة على المال الموصوف وتسطير الكتب اللازمة للجهة المختصة لرفع الإشارة وشطبها فوراً.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2026-08-26T13:23:45.135Z</dcterms:created>
  <dcterms:modified xsi:type="dcterms:W3CDTF">2026-08-26T13:23:45.135Z</dcterms:modified>
</cp:coreProperties>
</file>

<file path=docProps/custom.xml><?xml version="1.0" encoding="utf-8"?>
<Properties xmlns="http://schemas.openxmlformats.org/officeDocument/2006/custom-properties" xmlns:vt="http://schemas.openxmlformats.org/officeDocument/2006/docPropsVTypes"/>
</file>