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نشر إعلان المزاد في الصحف اليومية وتعليقه في كراج الحجز وأماكن النشر الرسمية.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2026-08-26T13:25:18.277Z</dcterms:created>
  <dcterms:modified xsi:type="dcterms:W3CDTF">2026-08-26T13:25:18.277Z</dcterms:modified>
</cp:coreProperties>
</file>

<file path=docProps/custom.xml><?xml version="1.0" encoding="utf-8"?>
<Properties xmlns="http://schemas.openxmlformats.org/officeDocument/2006/custom-properties" xmlns:vt="http://schemas.openxmlformats.org/officeDocument/2006/docPropsVTypes"/>
</file>