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التكرم بالرجوع عن القرار المذكور وإصدار القرار البديل بالسير بالإجراءات وفق أحكام القانون. سنداً لأحكام قانون التنفيذ وقواعد الإجراءات القضائية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2026-08-26T13:24:07.471Z</dcterms:created>
  <dcterms:modified xsi:type="dcterms:W3CDTF">2026-08-26T13:24:07.471Z</dcterms:modified>
</cp:coreProperties>
</file>

<file path=docProps/custom.xml><?xml version="1.0" encoding="utf-8"?>
<Properties xmlns="http://schemas.openxmlformats.org/officeDocument/2006/custom-properties" xmlns:vt="http://schemas.openxmlformats.org/officeDocument/2006/docPropsVTypes"/>
</file>