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تثبيت واعتماد قائمة التوزيع النهائية وصرف المبالغ المقررة لكل دائن حسب الأصول والأنظمة المحاسبية.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2026-08-26T13:24:00.445Z</dcterms:created>
  <dcterms:modified xsi:type="dcterms:W3CDTF">2026-08-26T13:24:00.445Z</dcterms:modified>
</cp:coreProperties>
</file>

<file path=docProps/custom.xml><?xml version="1.0" encoding="utf-8"?>
<Properties xmlns="http://schemas.openxmlformats.org/officeDocument/2006/custom-properties" xmlns:vt="http://schemas.openxmlformats.org/officeDocument/2006/docPropsVTypes"/>
</file>