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220" w:before="140"/>
      </w:pPr>
      <w:r>
        <w:rPr>
          <w:sz w:val="32"/>
          <w:szCs w:val="32"/>
          <w:rtl/>
        </w:rPr>
        <w:t>ألتمس من مقام رئاسة التنفيذ الموقرة تعيين خبير مختص من جدول الخبراء المعتمدين للكشف على المركبة المحجوزة وتقدير قيمتها الحالية وبيان مواصفاتها الفنية وإيداع تقريره لدى دائرة التنفيذ. سنداً لأحكام قانون التنفيذ الأردني ونظام الخبراء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2026-08-26T13:22:05.685Z</dcterms:created>
  <dcterms:modified xsi:type="dcterms:W3CDTF">2026-08-26T13:22:05.685Z</dcterms:modified>
</cp:coreProperties>
</file>

<file path=docProps/custom.xml><?xml version="1.0" encoding="utf-8"?>
<Properties xmlns="http://schemas.openxmlformats.org/officeDocument/2006/custom-properties" xmlns:vt="http://schemas.openxmlformats.org/officeDocument/2006/docPropsVTypes"/>
</file>