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150" w:before="100"/>
      </w:pPr>
      <w:r>
        <w:rPr>
          <w:sz w:val="32"/>
          <w:szCs w:val="32"/>
          <w:rtl/>
        </w:rPr>
        <w:t xml:space="preserve">وردت مشروحات صادرة صادرة عن إدارة ترخيص السواقين والمركبات / البنك المركزي الأردني</w:t>
      </w:r>
    </w:p>
    <w:p>
      <w:pPr>
        <w:bidi/>
        <w:spacing w:after="220" w:before="140"/>
      </w:pPr>
      <w:r>
        <w:rPr>
          <w:sz w:val="32"/>
          <w:szCs w:val="32"/>
          <w:rtl/>
        </w:rPr>
        <w:t>ألتمس من مقام رئاسة التنفيذ الموقرة تسطير كتاب رسمي إلى إدارة ترخيص السواقين والمركبات بعدم الممانعة من فحص وتجديد ترخيص المركبة لعام واحد مع التأكيد على بقاء إشارة الحجز التنفيذي سارية المفعول على قيدها. سنداً لأحكام قانون التنفيذ ونظام السير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2026-08-26T13:24:39.587Z</dcterms:created>
  <dcterms:modified xsi:type="dcterms:W3CDTF">2026-08-26T13:24:39.587Z</dcterms:modified>
</cp:coreProperties>
</file>

<file path=docProps/custom.xml><?xml version="1.0" encoding="utf-8"?>
<Properties xmlns="http://schemas.openxmlformats.org/officeDocument/2006/custom-properties" xmlns:vt="http://schemas.openxmlformats.org/officeDocument/2006/docPropsVTypes"/>
</file>