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إيقاع الحجز التنفيذي على أموال المحكوم عليه المنقولة وغير المنقولة أينما وجدت وتسطير الكتب اللازمة للجهات المعنية. سنداً لأحكام قانون التنفيذ الأردني رقم 36 لسنة 2002 وتعديلاته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2026-08-26T13:22:54.899Z</dcterms:created>
  <dcterms:modified xsi:type="dcterms:W3CDTF">2026-08-26T13:22:54.899Z</dcterms:modified>
</cp:coreProperties>
</file>

<file path=docProps/custom.xml><?xml version="1.0" encoding="utf-8"?>
<Properties xmlns="http://schemas.openxmlformats.org/officeDocument/2006/custom-properties" xmlns:vt="http://schemas.openxmlformats.org/officeDocument/2006/docPropsVTypes"/>
</file>