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إلزام المحكوم عليه بإخلاء العقار موضوع الدعوى وتسليمه للمحكوم له خالياً من الشواغل والأشخاص.، وتحديد موعد لإجراء معاملة الإخلاء بواسطة مأمور التنفيذ والأجهزة المختصة.، وتسطير الكتب اللازمة لذلك وتضمين المحكوم عليه الرسوم والمصاريف وأتعاب المحاماة. سنداً لأحكام المادة (40) وما بعدها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2026-08-26T13:12:45.436Z</dcterms:created>
  <dcterms:modified xsi:type="dcterms:W3CDTF">2026-08-26T13:12:45.436Z</dcterms:modified>
</cp:coreProperties>
</file>

<file path=docProps/custom.xml><?xml version="1.0" encoding="utf-8"?>
<Properties xmlns="http://schemas.openxmlformats.org/officeDocument/2006/custom-properties" xmlns:vt="http://schemas.openxmlformats.org/officeDocument/2006/docPropsVTypes"/>
</file>