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إخطار تنفيذي موجه للكفيل وتبليغه حسب الأصول وإلزامه بالسداد تحت طائلة اتخاذ الإجراءات التنفيذية بحقه. سنداً لأحكام قانون التنفيذ الأردني والقانون المدني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