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تثبيت واعتماد رقم الآيبان المرفق في النظام الإلكتروني للدعوى وتحويل أية مبالغ تقيد في حساب القضية إلى هذا الحساب مباشرة. سنداً لأحكام تعليمات التحول الرقمي وقانون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