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00" w:after="150"/>
      </w:pPr>
      <w:r>
        <w:t xml:space="preserve">وردت مشروحات صادرة عن إدارة ترخيص السواقين والمركبات / البنك المركزي الأردني</w:t>
      </w:r>
    </w:p>
    <w:p>
      <w:pPr>
        <w:bidi/>
        <w:spacing w:before="140" w:after="220"/>
      </w:pPr>
      <w:r>
        <w:t xml:space="preserve">ألتمس من رئاسة التنفيذ الموقرة تسطير الكتب الرسمية للاستعلام عن أموال وأملاك المحكوم عليه / الكفيل إلى: إدارة ترخيص السواقين والمركبات، دائرة الأراضي والمساحة، البنك المركزي الأردني، دائرة مراقبة الشركات، والمؤسسة العامة للضمان الاجتماعي، ووضع إشارة الحجز التنفيذي الفوري على ما يظهر من أموال وأرصدة وأملاك نتيجة الاستعلام. سنداً لأحكام المادة (360) مكررة وقانون التنفيذ الأردني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