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bookmarkEnd w:id="0"/>
    <w:p w:rsidR="007A4C4D" w:rsidRDefault="00B07BE6" w:rsidP="004665A7">
      <w:pPr>
        <w:bidi/>
        <w:spacing w:before="140" w:after="220"/>
      </w:pPr>
      <w:r>
        <w:t>ألتمس من رئاسة التنفيذ الموقرة وقف إجراءات التنفيذ لحين الفصل</w:t>
      </w:r>
      <w:r w:rsidR="004665A7">
        <w:t xml:space="preserve"> في دعوى التزوير الجزائية</w:t>
      </w:r>
      <w:r w:rsidR="004665A7">
        <w:rPr>
          <w:rFonts w:hint="cs"/>
        </w:rPr>
        <w:t xml:space="preserve"> رقم ()</w:t>
      </w:r>
      <w:r w:rsidR="004665A7">
        <w:t xml:space="preserve"> لدى </w:t>
      </w:r>
      <w:r>
        <w:t>محكمة</w:t>
      </w:r>
      <w:r w:rsidR="004665A7">
        <w:rPr>
          <w:rFonts w:hint="cs"/>
        </w:rPr>
        <w:t xml:space="preserve"> ()</w:t>
      </w:r>
      <w:r>
        <w:t>،</w:t>
      </w:r>
      <w:r w:rsidR="004665A7">
        <w:rPr>
          <w:rFonts w:hint="cs"/>
        </w:rPr>
        <w:t xml:space="preserve"> </w:t>
      </w:r>
      <w:r>
        <w:t>سنداً لأحكام المادة (14) من قانون التنفيذ وقانون البينات الأردني وتسطير الكتب اللازمة للجهات ذات العلاقة حسب الأصول.</w:t>
      </w:r>
    </w:p>
    <w:p w:rsidR="007A4C4D" w:rsidRDefault="00B07BE6" w:rsidP="004665A7">
      <w:pPr>
        <w:bidi/>
        <w:spacing w:before="200" w:after="160"/>
      </w:pPr>
      <w:r>
        <w:rPr>
          <w:b/>
          <w:bCs/>
        </w:rPr>
        <w:t xml:space="preserve">و عليه ترفع الاوراق لرئاسة التنفيذ </w:t>
      </w:r>
      <w:r w:rsidR="004665A7">
        <w:rPr>
          <w:rFonts w:hint="cs"/>
          <w:b/>
          <w:bCs/>
        </w:rPr>
        <w:t xml:space="preserve">للإطلاع </w:t>
      </w:r>
      <w:r>
        <w:rPr>
          <w:b/>
          <w:bCs/>
        </w:rPr>
        <w:t>حسب الاصول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