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تسطير كتب رسمية لمخاطبة الجهات المحجوز لديها لتحويل وتوريد المبالغ المحجوزة فوراً إلى صندوق المحكمة وقيدها في أمانات القضية لصرفها للمحكوم له. سنداً لأحكام المادة (48) وما بعدها من قانون التنفيذ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